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5EF3F" w14:textId="77777777" w:rsidR="00FE3651" w:rsidRDefault="00000000">
      <w:pPr>
        <w:spacing w:before="60" w:after="240" w:line="276" w:lineRule="auto"/>
        <w:jc w:val="center"/>
        <w:rPr>
          <w:rFonts w:ascii="Arial" w:eastAsia="Arial" w:hAnsi="Arial" w:cs="Arial"/>
          <w:b/>
          <w:bCs/>
          <w:sz w:val="20"/>
          <w:szCs w:val="20"/>
        </w:rPr>
      </w:pPr>
      <w:r>
        <w:rPr>
          <w:rFonts w:ascii="Arial" w:eastAsia="Arial" w:hAnsi="Arial" w:cs="Arial"/>
          <w:b/>
          <w:bCs/>
          <w:sz w:val="20"/>
          <w:szCs w:val="20"/>
        </w:rPr>
        <w:t>TERMS OF REFERENCE AND TECHNICAL SPECIFICATIONS</w:t>
      </w:r>
    </w:p>
    <w:tbl>
      <w:tblPr>
        <w:tblStyle w:val="a"/>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3"/>
        <w:gridCol w:w="6169"/>
      </w:tblGrid>
      <w:tr w:rsidR="00FE3651" w14:paraId="3FCF3723" w14:textId="77777777">
        <w:trPr>
          <w:trHeight w:val="283"/>
        </w:trPr>
        <w:tc>
          <w:tcPr>
            <w:tcW w:w="2903" w:type="dxa"/>
            <w:shd w:val="clear" w:color="auto" w:fill="E6E6E6"/>
            <w:vAlign w:val="center"/>
          </w:tcPr>
          <w:p w14:paraId="45680B12" w14:textId="77777777" w:rsidR="00FE3651" w:rsidRDefault="00000000">
            <w:pPr>
              <w:spacing w:before="60" w:line="276" w:lineRule="auto"/>
              <w:rPr>
                <w:rFonts w:ascii="Arial" w:eastAsia="Arial" w:hAnsi="Arial" w:cs="Arial"/>
                <w:sz w:val="20"/>
                <w:szCs w:val="20"/>
              </w:rPr>
            </w:pPr>
            <w:r>
              <w:rPr>
                <w:rFonts w:ascii="Arial" w:eastAsia="Arial" w:hAnsi="Arial" w:cs="Arial"/>
                <w:sz w:val="20"/>
                <w:szCs w:val="20"/>
              </w:rPr>
              <w:t>Assignment name</w:t>
            </w:r>
          </w:p>
        </w:tc>
        <w:tc>
          <w:tcPr>
            <w:tcW w:w="6169" w:type="dxa"/>
            <w:vAlign w:val="center"/>
          </w:tcPr>
          <w:p w14:paraId="437D7A72" w14:textId="77777777" w:rsidR="00FE3651" w:rsidRDefault="00000000">
            <w:pPr>
              <w:spacing w:before="60" w:line="276" w:lineRule="auto"/>
              <w:rPr>
                <w:rFonts w:ascii="Arial" w:eastAsia="Arial" w:hAnsi="Arial" w:cs="Arial"/>
                <w:sz w:val="20"/>
                <w:szCs w:val="20"/>
              </w:rPr>
            </w:pPr>
            <w:r>
              <w:rPr>
                <w:rFonts w:ascii="Arial" w:eastAsia="Arial" w:hAnsi="Arial" w:cs="Arial"/>
                <w:sz w:val="20"/>
                <w:szCs w:val="20"/>
              </w:rPr>
              <w:t>Supply of the Rehabilitation Equipment</w:t>
            </w:r>
          </w:p>
        </w:tc>
      </w:tr>
      <w:tr w:rsidR="00FE3651" w14:paraId="1788FE80" w14:textId="77777777">
        <w:trPr>
          <w:trHeight w:val="283"/>
        </w:trPr>
        <w:tc>
          <w:tcPr>
            <w:tcW w:w="2903" w:type="dxa"/>
            <w:shd w:val="clear" w:color="auto" w:fill="E6E6E6"/>
            <w:vAlign w:val="center"/>
          </w:tcPr>
          <w:p w14:paraId="0B831DBF" w14:textId="77777777" w:rsidR="00FE3651" w:rsidRDefault="00000000">
            <w:pPr>
              <w:spacing w:before="60" w:line="276" w:lineRule="auto"/>
              <w:rPr>
                <w:rFonts w:ascii="Arial" w:eastAsia="Arial" w:hAnsi="Arial" w:cs="Arial"/>
                <w:sz w:val="20"/>
                <w:szCs w:val="20"/>
              </w:rPr>
            </w:pPr>
            <w:r>
              <w:rPr>
                <w:rFonts w:ascii="Arial" w:eastAsia="Arial" w:hAnsi="Arial" w:cs="Arial"/>
                <w:sz w:val="20"/>
                <w:szCs w:val="20"/>
              </w:rPr>
              <w:t>Beneficiary</w:t>
            </w:r>
          </w:p>
        </w:tc>
        <w:tc>
          <w:tcPr>
            <w:tcW w:w="6169" w:type="dxa"/>
            <w:vAlign w:val="center"/>
          </w:tcPr>
          <w:p w14:paraId="4018EEAB" w14:textId="0ACEE9FF" w:rsidR="00091F87" w:rsidRPr="00091F87" w:rsidRDefault="00E32C7A">
            <w:pPr>
              <w:spacing w:line="276" w:lineRule="auto"/>
              <w:rPr>
                <w:rFonts w:ascii="Arial" w:eastAsia="Arial" w:hAnsi="Arial" w:cs="Arial"/>
                <w:sz w:val="20"/>
                <w:szCs w:val="20"/>
                <w:lang w:val="uk-UA"/>
              </w:rPr>
            </w:pPr>
            <w:r>
              <w:rPr>
                <w:rFonts w:ascii="Arial" w:eastAsia="Arial" w:hAnsi="Arial" w:cs="Arial"/>
                <w:sz w:val="20"/>
                <w:szCs w:val="20"/>
              </w:rPr>
              <w:t>Two Cluster Hospitals in Odesa region</w:t>
            </w:r>
          </w:p>
        </w:tc>
      </w:tr>
      <w:tr w:rsidR="00FE3651" w14:paraId="16E8E2D2" w14:textId="77777777">
        <w:trPr>
          <w:trHeight w:val="283"/>
        </w:trPr>
        <w:tc>
          <w:tcPr>
            <w:tcW w:w="2903" w:type="dxa"/>
            <w:shd w:val="clear" w:color="auto" w:fill="E6E6E6"/>
            <w:vAlign w:val="center"/>
          </w:tcPr>
          <w:p w14:paraId="7D9828F2" w14:textId="77777777" w:rsidR="00FE3651" w:rsidRDefault="00000000">
            <w:pPr>
              <w:spacing w:before="60" w:line="276" w:lineRule="auto"/>
              <w:rPr>
                <w:rFonts w:ascii="Arial" w:eastAsia="Arial" w:hAnsi="Arial" w:cs="Arial"/>
                <w:sz w:val="20"/>
                <w:szCs w:val="20"/>
              </w:rPr>
            </w:pPr>
            <w:r>
              <w:rPr>
                <w:rFonts w:ascii="Arial" w:eastAsia="Arial" w:hAnsi="Arial" w:cs="Arial"/>
                <w:sz w:val="20"/>
                <w:szCs w:val="20"/>
              </w:rPr>
              <w:t>Country</w:t>
            </w:r>
          </w:p>
        </w:tc>
        <w:tc>
          <w:tcPr>
            <w:tcW w:w="6169" w:type="dxa"/>
            <w:vAlign w:val="center"/>
          </w:tcPr>
          <w:p w14:paraId="5167D1CF" w14:textId="77777777" w:rsidR="00FE3651" w:rsidRDefault="00000000">
            <w:pPr>
              <w:spacing w:line="276" w:lineRule="auto"/>
              <w:rPr>
                <w:rFonts w:ascii="Arial" w:eastAsia="Arial" w:hAnsi="Arial" w:cs="Arial"/>
                <w:sz w:val="20"/>
                <w:szCs w:val="20"/>
              </w:rPr>
            </w:pPr>
            <w:r>
              <w:rPr>
                <w:rFonts w:ascii="Arial" w:eastAsia="Arial" w:hAnsi="Arial" w:cs="Arial"/>
                <w:sz w:val="20"/>
                <w:szCs w:val="20"/>
              </w:rPr>
              <w:t>Ukraine</w:t>
            </w:r>
          </w:p>
        </w:tc>
      </w:tr>
    </w:tbl>
    <w:p w14:paraId="7F5245FC" w14:textId="77777777" w:rsidR="00FE3651" w:rsidRDefault="00FE3651">
      <w:pPr>
        <w:spacing w:before="60" w:line="276" w:lineRule="auto"/>
        <w:jc w:val="both"/>
        <w:rPr>
          <w:rFonts w:ascii="Arial" w:eastAsia="Arial" w:hAnsi="Arial" w:cs="Arial"/>
          <w:sz w:val="20"/>
          <w:szCs w:val="20"/>
        </w:rPr>
      </w:pPr>
    </w:p>
    <w:p w14:paraId="1253E17D"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Background information</w:t>
      </w:r>
    </w:p>
    <w:p w14:paraId="36FE4583" w14:textId="77777777" w:rsidR="00FE3651" w:rsidRDefault="00000000">
      <w:pPr>
        <w:spacing w:before="240" w:after="240" w:line="276" w:lineRule="auto"/>
        <w:jc w:val="both"/>
        <w:rPr>
          <w:rFonts w:ascii="Arial" w:eastAsia="Arial" w:hAnsi="Arial" w:cs="Arial"/>
          <w:sz w:val="20"/>
          <w:szCs w:val="20"/>
        </w:rPr>
      </w:pPr>
      <w:r>
        <w:rPr>
          <w:rFonts w:ascii="Arial" w:eastAsia="Arial" w:hAnsi="Arial" w:cs="Arial"/>
          <w:sz w:val="20"/>
          <w:szCs w:val="20"/>
        </w:rPr>
        <w:t xml:space="preserve">Expertise France is the French International Technical Cooperation Agency, with the status of public institution under the joint supervision of the Ministry of Europe and Foreign Affairs and the Ministries of Economics, Finance and Industrial and Digital Sovereignty. It is the second largest technical cooperation agency in Europe. Expertise France designs and implements projects that strengthen public policies over the long term in developing and emerging countries. As the French public agency for international technical cooperation, Expertise France operates in more than 100 countries, implementing more than 400 projects. The agency works in close collaboration with French public institutions, as well as with the European Union, to respond to the needs of partner countries that wish to improve public policies that tackle these challenges. In Ukraine the Agency has been regularly present since 2006 through series of technical assistance projects. </w:t>
      </w:r>
    </w:p>
    <w:p w14:paraId="53BD88E8" w14:textId="77777777" w:rsidR="00FE3651" w:rsidRDefault="00000000">
      <w:pPr>
        <w:spacing w:line="276" w:lineRule="auto"/>
        <w:jc w:val="both"/>
        <w:rPr>
          <w:rFonts w:ascii="Arial" w:eastAsia="Arial" w:hAnsi="Arial" w:cs="Arial"/>
          <w:sz w:val="20"/>
          <w:szCs w:val="20"/>
        </w:rPr>
      </w:pPr>
      <w:r>
        <w:rPr>
          <w:rFonts w:ascii="Arial" w:eastAsia="Arial" w:hAnsi="Arial" w:cs="Arial"/>
          <w:b/>
          <w:bCs/>
          <w:sz w:val="20"/>
          <w:szCs w:val="20"/>
        </w:rPr>
        <w:t>Expertise France in Ukraine</w:t>
      </w:r>
    </w:p>
    <w:p w14:paraId="293A0FB6" w14:textId="77777777" w:rsidR="00FE3651" w:rsidRDefault="00000000">
      <w:pPr>
        <w:spacing w:after="240" w:line="276" w:lineRule="auto"/>
        <w:jc w:val="both"/>
        <w:rPr>
          <w:rFonts w:ascii="Arial" w:eastAsia="Arial" w:hAnsi="Arial" w:cs="Arial"/>
          <w:sz w:val="20"/>
          <w:szCs w:val="20"/>
        </w:rPr>
      </w:pPr>
      <w:r>
        <w:rPr>
          <w:rFonts w:ascii="Arial" w:eastAsia="Arial" w:hAnsi="Arial" w:cs="Arial"/>
          <w:sz w:val="20"/>
          <w:szCs w:val="20"/>
        </w:rPr>
        <w:t xml:space="preserve">The MEAE has financed in 2023 Expertise France with an envelope of €14.5 million to position French technical cooperation and respond to Ukraine’s short, medium and long-term needs. This facility, entitled </w:t>
      </w:r>
      <w:proofErr w:type="spellStart"/>
      <w:r>
        <w:rPr>
          <w:rFonts w:ascii="Arial" w:eastAsia="Arial" w:hAnsi="Arial" w:cs="Arial"/>
          <w:sz w:val="20"/>
          <w:szCs w:val="20"/>
        </w:rPr>
        <w:t>mAIDan</w:t>
      </w:r>
      <w:proofErr w:type="spellEnd"/>
      <w:r>
        <w:rPr>
          <w:rFonts w:ascii="Arial" w:eastAsia="Arial" w:hAnsi="Arial" w:cs="Arial"/>
          <w:sz w:val="20"/>
          <w:szCs w:val="20"/>
        </w:rPr>
        <w:t xml:space="preserve"> Ukraine, finances and co-finances technical assistance projects to support Ukrainian authorities in preparing for reconstruction and the European accession process. </w:t>
      </w:r>
    </w:p>
    <w:p w14:paraId="33799462" w14:textId="77777777" w:rsidR="00FE3651" w:rsidRDefault="00000000">
      <w:pPr>
        <w:spacing w:after="240" w:line="276" w:lineRule="auto"/>
        <w:jc w:val="both"/>
        <w:rPr>
          <w:rFonts w:ascii="Arial" w:eastAsia="Arial" w:hAnsi="Arial" w:cs="Arial"/>
          <w:sz w:val="20"/>
          <w:szCs w:val="20"/>
        </w:rPr>
      </w:pPr>
      <w:r>
        <w:rPr>
          <w:rFonts w:ascii="Arial" w:eastAsia="Arial" w:hAnsi="Arial" w:cs="Arial"/>
          <w:sz w:val="20"/>
          <w:szCs w:val="20"/>
        </w:rPr>
        <w:t>The ongoing other projects in Ukraine include: the EU-funded Project</w:t>
      </w:r>
      <w:r>
        <w:rPr>
          <w:rFonts w:ascii="Arial" w:eastAsia="Arial" w:hAnsi="Arial" w:cs="Arial"/>
          <w:b/>
          <w:bCs/>
          <w:sz w:val="20"/>
          <w:szCs w:val="20"/>
        </w:rPr>
        <w:t xml:space="preserve"> </w:t>
      </w:r>
      <w:proofErr w:type="spellStart"/>
      <w:r>
        <w:rPr>
          <w:rFonts w:ascii="Arial" w:eastAsia="Arial" w:hAnsi="Arial" w:cs="Arial"/>
          <w:b/>
          <w:bCs/>
          <w:sz w:val="20"/>
          <w:szCs w:val="20"/>
        </w:rPr>
        <w:t>Pravo</w:t>
      </w:r>
      <w:proofErr w:type="spellEnd"/>
      <w:r>
        <w:rPr>
          <w:rFonts w:ascii="Arial" w:eastAsia="Arial" w:hAnsi="Arial" w:cs="Arial"/>
          <w:b/>
          <w:bCs/>
          <w:sz w:val="20"/>
          <w:szCs w:val="20"/>
        </w:rPr>
        <w:t>-Justice</w:t>
      </w:r>
      <w:r>
        <w:rPr>
          <w:rFonts w:ascii="Arial" w:eastAsia="Arial" w:hAnsi="Arial" w:cs="Arial"/>
          <w:sz w:val="20"/>
          <w:szCs w:val="20"/>
        </w:rPr>
        <w:t xml:space="preserve"> which promotes greater rule of law in Ukraine, in line with European standards and comparative practices; the “</w:t>
      </w:r>
      <w:proofErr w:type="spellStart"/>
      <w:r>
        <w:rPr>
          <w:rFonts w:ascii="Arial" w:eastAsia="Arial" w:hAnsi="Arial" w:cs="Arial"/>
          <w:b/>
          <w:bCs/>
          <w:sz w:val="20"/>
          <w:szCs w:val="20"/>
        </w:rPr>
        <w:t>Stiykist</w:t>
      </w:r>
      <w:proofErr w:type="spellEnd"/>
      <w:r>
        <w:rPr>
          <w:rFonts w:ascii="Arial" w:eastAsia="Arial" w:hAnsi="Arial" w:cs="Arial"/>
          <w:sz w:val="20"/>
          <w:szCs w:val="20"/>
        </w:rPr>
        <w:t>” (resilience) project aims to contribute to social transformation and resilience in Ukraine by strengthening the capacities of national, regional and local institutions in the field of vocational training and social services, with a particular focus on the social inclusion of the most vulnerable; the Technical Support of the State Audit Service project which aims to mobilize French and national technical expertise to help bringing Ukrainian legislation into line with the acquis Communautaire, particularly in terms of protecting the EU’s financial interests and supporting the SAS in its role of inspecting and monitoring the use of reconstruction funds.</w:t>
      </w:r>
    </w:p>
    <w:p w14:paraId="5A3E3038" w14:textId="77777777" w:rsidR="00FE3651" w:rsidRDefault="00000000">
      <w:pPr>
        <w:spacing w:line="276" w:lineRule="auto"/>
        <w:jc w:val="both"/>
        <w:rPr>
          <w:rFonts w:ascii="Arial" w:eastAsia="Arial" w:hAnsi="Arial" w:cs="Arial"/>
          <w:sz w:val="20"/>
          <w:szCs w:val="20"/>
        </w:rPr>
      </w:pPr>
      <w:r>
        <w:rPr>
          <w:rFonts w:ascii="Arial" w:eastAsia="Arial" w:hAnsi="Arial" w:cs="Arial"/>
          <w:b/>
          <w:bCs/>
          <w:sz w:val="20"/>
          <w:szCs w:val="20"/>
        </w:rPr>
        <w:t>Expertise France’s Health Programme</w:t>
      </w:r>
      <w:r>
        <w:rPr>
          <w:rFonts w:ascii="Arial" w:eastAsia="Arial" w:hAnsi="Arial" w:cs="Arial"/>
          <w:sz w:val="20"/>
          <w:szCs w:val="20"/>
        </w:rPr>
        <w:t xml:space="preserve"> </w:t>
      </w:r>
    </w:p>
    <w:p w14:paraId="1ECCAC29" w14:textId="77777777" w:rsidR="00FE3651"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As part of France’s strategy for reconstruction and aid in Ukraine focusing on the health sector The French Ministry of Europe and Foreign Affairs (MEAE)’s Crisis </w:t>
      </w:r>
      <w:proofErr w:type="spellStart"/>
      <w:r>
        <w:rPr>
          <w:rFonts w:ascii="Arial" w:eastAsia="Arial" w:hAnsi="Arial" w:cs="Arial"/>
          <w:sz w:val="20"/>
          <w:szCs w:val="20"/>
        </w:rPr>
        <w:t>Center</w:t>
      </w:r>
      <w:proofErr w:type="spellEnd"/>
      <w:r>
        <w:rPr>
          <w:rFonts w:ascii="Arial" w:eastAsia="Arial" w:hAnsi="Arial" w:cs="Arial"/>
          <w:sz w:val="20"/>
          <w:szCs w:val="20"/>
        </w:rPr>
        <w:t xml:space="preserve"> (CDCS) has financed €18 million over 36 months to the </w:t>
      </w:r>
      <w:r>
        <w:rPr>
          <w:rFonts w:ascii="Arial" w:eastAsia="Arial" w:hAnsi="Arial" w:cs="Arial"/>
          <w:b/>
          <w:bCs/>
          <w:sz w:val="20"/>
          <w:szCs w:val="20"/>
        </w:rPr>
        <w:t>APPUI</w:t>
      </w:r>
      <w:r>
        <w:rPr>
          <w:rFonts w:ascii="Arial" w:eastAsia="Arial" w:hAnsi="Arial" w:cs="Arial"/>
          <w:sz w:val="20"/>
          <w:szCs w:val="20"/>
        </w:rPr>
        <w:t xml:space="preserve"> Health Project from 2024 to 2026. The project, implemented in partnership with Ministry of Health of Ukraine and other key stakeholders aims to improve Ukrainian populations’ access to essential healthcare services in times of crisis. The project focuses on enhancing hospital cooperation between France and Ukraine, mobilizing French expertise, financing implementing partners, financing national healthcare authorities’ resources and projects, reconstructing and modernizing healthcare infrastructure and donating medical equipment at the request of Ministry of Health of Ukraine. </w:t>
      </w:r>
    </w:p>
    <w:p w14:paraId="2CF5763D" w14:textId="77777777" w:rsidR="00FE3651" w:rsidRDefault="00000000">
      <w:pPr>
        <w:spacing w:after="240" w:line="276" w:lineRule="auto"/>
        <w:jc w:val="both"/>
        <w:rPr>
          <w:rFonts w:ascii="Arial" w:eastAsia="Arial" w:hAnsi="Arial" w:cs="Arial"/>
          <w:sz w:val="20"/>
          <w:szCs w:val="20"/>
        </w:rPr>
      </w:pPr>
      <w:r>
        <w:rPr>
          <w:rFonts w:ascii="Arial" w:eastAsia="Arial" w:hAnsi="Arial" w:cs="Arial"/>
          <w:sz w:val="20"/>
          <w:szCs w:val="20"/>
        </w:rPr>
        <w:t xml:space="preserve">The </w:t>
      </w:r>
      <w:r>
        <w:rPr>
          <w:rFonts w:ascii="Arial" w:eastAsia="Arial" w:hAnsi="Arial" w:cs="Arial"/>
          <w:b/>
          <w:bCs/>
          <w:sz w:val="20"/>
          <w:szCs w:val="20"/>
        </w:rPr>
        <w:t>REHAB</w:t>
      </w:r>
      <w:r>
        <w:rPr>
          <w:rFonts w:ascii="Arial" w:eastAsia="Arial" w:hAnsi="Arial" w:cs="Arial"/>
          <w:sz w:val="20"/>
          <w:szCs w:val="20"/>
        </w:rPr>
        <w:t xml:space="preserve"> project, funded by the French Development Agency (</w:t>
      </w:r>
      <w:proofErr w:type="spellStart"/>
      <w:r>
        <w:rPr>
          <w:rFonts w:ascii="Arial" w:eastAsia="Arial" w:hAnsi="Arial" w:cs="Arial"/>
          <w:sz w:val="20"/>
          <w:szCs w:val="20"/>
        </w:rPr>
        <w:t>l’AFD</w:t>
      </w:r>
      <w:proofErr w:type="spellEnd"/>
      <w:r>
        <w:rPr>
          <w:rFonts w:ascii="Arial" w:eastAsia="Arial" w:hAnsi="Arial" w:cs="Arial"/>
          <w:sz w:val="20"/>
          <w:szCs w:val="20"/>
        </w:rPr>
        <w:t xml:space="preserve">) for €5 million over 24 months, from 2025 to 2026 aims overall supporting Ukraine in maintaining and strengthening its healthcare system to address the consequences of the conflict on the physical and mental health of Ukrainians. Activities are designed around enhancing mental health services and infrastructure in the Odesa region; </w:t>
      </w:r>
      <w:r>
        <w:rPr>
          <w:rFonts w:ascii="Arial" w:eastAsia="Arial" w:hAnsi="Arial" w:cs="Arial"/>
          <w:sz w:val="20"/>
          <w:szCs w:val="20"/>
        </w:rPr>
        <w:lastRenderedPageBreak/>
        <w:t xml:space="preserve">strengthening physical rehabilitation efforts and infrastructure, while also emphasizing broader capacity-building initiatives across Ukraine with national and international partners; and identifying and conducting feasibility studies to prepare for concessional loan opportunities. </w:t>
      </w:r>
    </w:p>
    <w:p w14:paraId="5FC5D7BA"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Objectives of the assignment</w:t>
      </w:r>
    </w:p>
    <w:p w14:paraId="43F1E50B" w14:textId="77777777" w:rsidR="00FE3651" w:rsidRDefault="00FE3651">
      <w:pPr>
        <w:spacing w:line="276" w:lineRule="auto"/>
        <w:jc w:val="both"/>
        <w:rPr>
          <w:rFonts w:ascii="Arial" w:eastAsia="Arial" w:hAnsi="Arial" w:cs="Arial"/>
          <w:sz w:val="20"/>
          <w:szCs w:val="20"/>
        </w:rPr>
      </w:pPr>
    </w:p>
    <w:p w14:paraId="66294E4A" w14:textId="77777777" w:rsidR="005B4343" w:rsidRPr="005B4343" w:rsidRDefault="005B4343" w:rsidP="005B4343">
      <w:pPr>
        <w:spacing w:line="276" w:lineRule="auto"/>
        <w:jc w:val="both"/>
        <w:rPr>
          <w:rFonts w:ascii="Arial" w:eastAsia="Arial" w:hAnsi="Arial" w:cs="Arial"/>
          <w:sz w:val="20"/>
          <w:szCs w:val="20"/>
        </w:rPr>
      </w:pPr>
      <w:r w:rsidRPr="005B4343">
        <w:rPr>
          <w:rFonts w:ascii="Arial" w:eastAsia="Arial" w:hAnsi="Arial" w:cs="Arial"/>
          <w:sz w:val="20"/>
          <w:szCs w:val="20"/>
        </w:rPr>
        <w:t>The two hospitals are key healthcare facilities serving populations across different parts of Odesa region, including communities located at a considerable distance from Odesa city. As important components of the regional healthcare network, they provide essential medical services to a large and diverse population, ensuring access to care for residents in both urban and rural areas.</w:t>
      </w:r>
    </w:p>
    <w:p w14:paraId="59AD521C" w14:textId="77777777" w:rsidR="005B4343" w:rsidRPr="005B4343" w:rsidRDefault="005B4343" w:rsidP="005B4343">
      <w:pPr>
        <w:spacing w:line="276" w:lineRule="auto"/>
        <w:jc w:val="both"/>
        <w:rPr>
          <w:rFonts w:ascii="Arial" w:eastAsia="Arial" w:hAnsi="Arial" w:cs="Arial"/>
          <w:sz w:val="20"/>
          <w:szCs w:val="20"/>
        </w:rPr>
      </w:pPr>
    </w:p>
    <w:p w14:paraId="6933E538" w14:textId="77777777" w:rsidR="005B4343" w:rsidRPr="005B4343" w:rsidRDefault="005B4343" w:rsidP="005B4343">
      <w:pPr>
        <w:spacing w:line="276" w:lineRule="auto"/>
        <w:jc w:val="both"/>
        <w:rPr>
          <w:rFonts w:ascii="Arial" w:eastAsia="Arial" w:hAnsi="Arial" w:cs="Arial"/>
          <w:sz w:val="20"/>
          <w:szCs w:val="20"/>
        </w:rPr>
      </w:pPr>
      <w:r w:rsidRPr="005B4343">
        <w:rPr>
          <w:rFonts w:ascii="Arial" w:eastAsia="Arial" w:hAnsi="Arial" w:cs="Arial"/>
          <w:sz w:val="20"/>
          <w:szCs w:val="20"/>
        </w:rPr>
        <w:t>In the context of the ongoing challenges faced by Ukraine’s healthcare system, strengthening rehabilitation services has become increasingly important to support patients recovering from trauma, cardiovascular conditions, neurological disorders, and other injuries. The demand for rehabilitation services in the areas covered by these hospitals has grown significantly, creating an urgent need to expand local rehabilitation capacity and improve access to specialized rehabilitation care closer to patients’ places of residence.</w:t>
      </w:r>
    </w:p>
    <w:p w14:paraId="06ED8883" w14:textId="77777777" w:rsidR="005B4343" w:rsidRPr="005B4343" w:rsidRDefault="005B4343" w:rsidP="005B4343">
      <w:pPr>
        <w:spacing w:line="276" w:lineRule="auto"/>
        <w:jc w:val="both"/>
        <w:rPr>
          <w:rFonts w:ascii="Arial" w:eastAsia="Arial" w:hAnsi="Arial" w:cs="Arial"/>
          <w:sz w:val="20"/>
          <w:szCs w:val="20"/>
        </w:rPr>
      </w:pPr>
    </w:p>
    <w:p w14:paraId="619AC408" w14:textId="69EC1D45" w:rsidR="005B4343" w:rsidRPr="005B4343" w:rsidRDefault="005B4343" w:rsidP="005B4343">
      <w:pPr>
        <w:spacing w:line="276" w:lineRule="auto"/>
        <w:jc w:val="both"/>
        <w:rPr>
          <w:rFonts w:ascii="Arial" w:eastAsia="Arial" w:hAnsi="Arial" w:cs="Arial"/>
          <w:sz w:val="20"/>
          <w:szCs w:val="20"/>
        </w:rPr>
      </w:pPr>
      <w:r w:rsidRPr="005B4343">
        <w:rPr>
          <w:rFonts w:ascii="Arial" w:eastAsia="Arial" w:hAnsi="Arial" w:cs="Arial"/>
          <w:sz w:val="20"/>
          <w:szCs w:val="20"/>
        </w:rPr>
        <w:t xml:space="preserve">Within the framework of the REHAB project implemented by the Health Program of Expertise France, this assignment aims to support the development and strengthening of rehabilitation services through the procurement of modern, high-quality rehabilitation equipment. The provision </w:t>
      </w:r>
      <w:r>
        <w:rPr>
          <w:rFonts w:ascii="Arial" w:eastAsia="Arial" w:hAnsi="Arial" w:cs="Arial"/>
          <w:sz w:val="20"/>
          <w:szCs w:val="20"/>
        </w:rPr>
        <w:t>the</w:t>
      </w:r>
      <w:r w:rsidRPr="005B4343">
        <w:rPr>
          <w:rFonts w:ascii="Arial" w:eastAsia="Arial" w:hAnsi="Arial" w:cs="Arial"/>
          <w:sz w:val="20"/>
          <w:szCs w:val="20"/>
        </w:rPr>
        <w:t xml:space="preserve"> equipment will enable the hospitals to establish and expand their rehabilitation capacity, address a wider range of rehabilitation needs, and improve the quality of care delivered to patients.</w:t>
      </w:r>
    </w:p>
    <w:p w14:paraId="095F5AD3" w14:textId="77777777" w:rsidR="005B4343" w:rsidRPr="005B4343" w:rsidRDefault="005B4343" w:rsidP="005B4343">
      <w:pPr>
        <w:spacing w:line="276" w:lineRule="auto"/>
        <w:jc w:val="both"/>
        <w:rPr>
          <w:rFonts w:ascii="Arial" w:eastAsia="Arial" w:hAnsi="Arial" w:cs="Arial"/>
          <w:sz w:val="20"/>
          <w:szCs w:val="20"/>
        </w:rPr>
      </w:pPr>
    </w:p>
    <w:p w14:paraId="54F5DF54" w14:textId="2A2C040E" w:rsidR="005B4343" w:rsidRDefault="005B4343" w:rsidP="005B4343">
      <w:pPr>
        <w:spacing w:line="276" w:lineRule="auto"/>
        <w:jc w:val="both"/>
        <w:rPr>
          <w:rFonts w:ascii="Arial" w:eastAsia="Arial" w:hAnsi="Arial" w:cs="Arial"/>
          <w:sz w:val="20"/>
          <w:szCs w:val="20"/>
        </w:rPr>
      </w:pPr>
      <w:r w:rsidRPr="005B4343">
        <w:rPr>
          <w:rFonts w:ascii="Arial" w:eastAsia="Arial" w:hAnsi="Arial" w:cs="Arial"/>
          <w:sz w:val="20"/>
          <w:szCs w:val="20"/>
        </w:rPr>
        <w:t xml:space="preserve">The rehabilitation equipment will support the provision of comprehensive rehabilitation care to a diverse patient population requiring rehabilitation services across Odesa region. This support will significantly strengthen the hospitals’ capacity to deliver safe, effective, and timely rehabilitation care, while improving access to quality rehabilitation services for communities located far from the regional </w:t>
      </w:r>
      <w:proofErr w:type="spellStart"/>
      <w:r w:rsidRPr="005B4343">
        <w:rPr>
          <w:rFonts w:ascii="Arial" w:eastAsia="Arial" w:hAnsi="Arial" w:cs="Arial"/>
          <w:sz w:val="20"/>
          <w:szCs w:val="20"/>
        </w:rPr>
        <w:t>center</w:t>
      </w:r>
      <w:proofErr w:type="spellEnd"/>
      <w:r w:rsidRPr="005B4343">
        <w:rPr>
          <w:rFonts w:ascii="Arial" w:eastAsia="Arial" w:hAnsi="Arial" w:cs="Arial"/>
          <w:sz w:val="20"/>
          <w:szCs w:val="20"/>
        </w:rPr>
        <w:t xml:space="preserve"> and reducing the need for patients to travel long distances to receive rehabilitation support.</w:t>
      </w:r>
    </w:p>
    <w:p w14:paraId="0EA619BC" w14:textId="77777777" w:rsidR="005B4343" w:rsidRDefault="005B4343">
      <w:pPr>
        <w:spacing w:line="276" w:lineRule="auto"/>
        <w:jc w:val="both"/>
        <w:rPr>
          <w:rFonts w:ascii="Arial" w:eastAsia="Arial" w:hAnsi="Arial" w:cs="Arial"/>
          <w:sz w:val="20"/>
          <w:szCs w:val="20"/>
        </w:rPr>
      </w:pPr>
    </w:p>
    <w:p w14:paraId="18B15FD7"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Description of the assignment</w:t>
      </w:r>
    </w:p>
    <w:p w14:paraId="1C596070" w14:textId="2BD56CB9" w:rsidR="005B4343" w:rsidRDefault="00000000" w:rsidP="005B4343">
      <w:pPr>
        <w:spacing w:before="240" w:line="276" w:lineRule="auto"/>
        <w:jc w:val="both"/>
        <w:rPr>
          <w:rFonts w:ascii="Arial" w:eastAsia="Arial" w:hAnsi="Arial" w:cs="Arial"/>
          <w:sz w:val="20"/>
          <w:szCs w:val="20"/>
        </w:rPr>
      </w:pPr>
      <w:r>
        <w:rPr>
          <w:rFonts w:ascii="Arial" w:eastAsia="Arial" w:hAnsi="Arial" w:cs="Arial"/>
          <w:sz w:val="20"/>
          <w:szCs w:val="20"/>
        </w:rPr>
        <w:t xml:space="preserve">The objective of this procurement is to equip the rehabilitation department of </w:t>
      </w:r>
      <w:r w:rsidR="005B4343">
        <w:rPr>
          <w:rFonts w:ascii="Arial" w:eastAsia="Arial" w:hAnsi="Arial" w:cs="Arial"/>
          <w:sz w:val="20"/>
          <w:szCs w:val="20"/>
        </w:rPr>
        <w:t xml:space="preserve">two hospitals located in the Odesa region with </w:t>
      </w:r>
      <w:r>
        <w:rPr>
          <w:rFonts w:ascii="Arial" w:eastAsia="Arial" w:hAnsi="Arial" w:cs="Arial"/>
          <w:sz w:val="20"/>
          <w:szCs w:val="20"/>
        </w:rPr>
        <w:t>high-quality, reliable, and fit-for-purpose rehabilitation equipment to ensure the provision of the rehabilitation services to the patients, requiring rehabilitation care.</w:t>
      </w:r>
    </w:p>
    <w:p w14:paraId="2F8BEB72" w14:textId="77777777" w:rsidR="005B4343" w:rsidRDefault="005B4343" w:rsidP="005B4343">
      <w:pPr>
        <w:spacing w:line="276" w:lineRule="auto"/>
        <w:jc w:val="both"/>
        <w:rPr>
          <w:rFonts w:ascii="Arial" w:eastAsia="Arial" w:hAnsi="Arial" w:cs="Arial"/>
          <w:sz w:val="20"/>
          <w:szCs w:val="20"/>
        </w:rPr>
      </w:pPr>
    </w:p>
    <w:p w14:paraId="60D08CDB" w14:textId="658C8FAA" w:rsidR="00FE3651" w:rsidRDefault="00000000" w:rsidP="00046E5F">
      <w:pPr>
        <w:spacing w:line="276" w:lineRule="auto"/>
        <w:jc w:val="both"/>
        <w:rPr>
          <w:rFonts w:ascii="Arial" w:eastAsia="Arial" w:hAnsi="Arial" w:cs="Arial"/>
          <w:sz w:val="20"/>
          <w:szCs w:val="20"/>
        </w:rPr>
      </w:pPr>
      <w:r>
        <w:rPr>
          <w:rFonts w:ascii="Arial" w:eastAsia="Arial" w:hAnsi="Arial" w:cs="Arial"/>
          <w:sz w:val="20"/>
          <w:szCs w:val="20"/>
        </w:rPr>
        <w:t xml:space="preserve">This procurement consists of </w:t>
      </w:r>
      <w:r w:rsidR="007011C1" w:rsidRPr="007011C1">
        <w:rPr>
          <w:rFonts w:ascii="Arial" w:eastAsia="Arial" w:hAnsi="Arial" w:cs="Arial"/>
          <w:b/>
          <w:bCs/>
          <w:sz w:val="20"/>
          <w:szCs w:val="20"/>
        </w:rPr>
        <w:t>1</w:t>
      </w:r>
      <w:r w:rsidR="00246550">
        <w:rPr>
          <w:rFonts w:ascii="Arial" w:eastAsia="Arial" w:hAnsi="Arial" w:cs="Arial"/>
          <w:b/>
          <w:bCs/>
          <w:sz w:val="20"/>
          <w:szCs w:val="20"/>
        </w:rPr>
        <w:t>4</w:t>
      </w:r>
      <w:r w:rsidRPr="007011C1">
        <w:rPr>
          <w:rFonts w:ascii="Arial" w:eastAsia="Arial" w:hAnsi="Arial" w:cs="Arial"/>
          <w:b/>
          <w:bCs/>
          <w:sz w:val="20"/>
          <w:szCs w:val="20"/>
        </w:rPr>
        <w:t xml:space="preserve"> Lots</w:t>
      </w:r>
      <w:r>
        <w:rPr>
          <w:rFonts w:ascii="Arial" w:eastAsia="Arial" w:hAnsi="Arial" w:cs="Arial"/>
          <w:sz w:val="20"/>
          <w:szCs w:val="20"/>
        </w:rPr>
        <w:t>, as follows:</w:t>
      </w:r>
    </w:p>
    <w:p w14:paraId="3BB8872C" w14:textId="6776B432" w:rsidR="00FE3651" w:rsidRPr="00BD68BC"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rPr>
      </w:pPr>
      <w:r w:rsidRPr="00BD68BC">
        <w:rPr>
          <w:rFonts w:ascii="Arial" w:eastAsia="Arial" w:hAnsi="Arial" w:cs="Arial"/>
          <w:b/>
          <w:bCs/>
          <w:sz w:val="20"/>
          <w:szCs w:val="20"/>
        </w:rPr>
        <w:t>Lot 1</w:t>
      </w:r>
      <w:r w:rsidRPr="00BD68BC">
        <w:rPr>
          <w:rFonts w:ascii="Arial" w:eastAsia="Arial" w:hAnsi="Arial" w:cs="Arial"/>
          <w:sz w:val="20"/>
          <w:szCs w:val="20"/>
        </w:rPr>
        <w:t xml:space="preserve">: </w:t>
      </w:r>
      <w:r w:rsidR="005B4343" w:rsidRPr="00BD68BC">
        <w:rPr>
          <w:rFonts w:ascii="Arial" w:eastAsia="Arial" w:hAnsi="Arial" w:cs="Arial"/>
          <w:color w:val="222222"/>
          <w:sz w:val="20"/>
          <w:szCs w:val="20"/>
        </w:rPr>
        <w:t>Rehabilitation Equipment</w:t>
      </w:r>
    </w:p>
    <w:p w14:paraId="3126861E" w14:textId="6F3F6ECD" w:rsidR="00FE3651" w:rsidRPr="00BD68BC"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rPr>
      </w:pPr>
      <w:r w:rsidRPr="00BD68BC">
        <w:rPr>
          <w:rFonts w:ascii="Arial" w:eastAsia="Arial" w:hAnsi="Arial" w:cs="Arial"/>
          <w:b/>
          <w:bCs/>
          <w:sz w:val="20"/>
          <w:szCs w:val="20"/>
        </w:rPr>
        <w:t>Lot 2</w:t>
      </w:r>
      <w:r w:rsidRPr="00BD68BC">
        <w:rPr>
          <w:rFonts w:ascii="Arial" w:eastAsia="Arial" w:hAnsi="Arial" w:cs="Arial"/>
          <w:sz w:val="20"/>
          <w:szCs w:val="20"/>
        </w:rPr>
        <w:t xml:space="preserve">: </w:t>
      </w:r>
      <w:r w:rsidR="005B4343" w:rsidRPr="00BD68BC">
        <w:rPr>
          <w:rFonts w:ascii="Arial" w:eastAsia="Arial" w:hAnsi="Arial" w:cs="Arial"/>
          <w:color w:val="222222"/>
          <w:sz w:val="20"/>
          <w:szCs w:val="20"/>
        </w:rPr>
        <w:t>Equipment and Devices for Verticalization and Gait Training</w:t>
      </w:r>
    </w:p>
    <w:p w14:paraId="2DF3EC4A" w14:textId="6F8AA528" w:rsidR="00FE3651" w:rsidRPr="00BD68BC"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rPr>
      </w:pPr>
      <w:r w:rsidRPr="00BD68BC">
        <w:rPr>
          <w:rFonts w:ascii="Arial" w:eastAsia="Arial" w:hAnsi="Arial" w:cs="Arial"/>
          <w:b/>
          <w:bCs/>
          <w:sz w:val="20"/>
          <w:szCs w:val="20"/>
        </w:rPr>
        <w:t>Lot 3</w:t>
      </w:r>
      <w:r w:rsidRPr="00BD68BC">
        <w:rPr>
          <w:rFonts w:ascii="Arial" w:eastAsia="Arial" w:hAnsi="Arial" w:cs="Arial"/>
          <w:sz w:val="20"/>
          <w:szCs w:val="20"/>
        </w:rPr>
        <w:t xml:space="preserve">: </w:t>
      </w:r>
      <w:r w:rsidR="005B4343" w:rsidRPr="00BD68BC">
        <w:rPr>
          <w:rFonts w:ascii="Arial" w:eastAsia="Arial" w:hAnsi="Arial" w:cs="Arial"/>
          <w:sz w:val="20"/>
          <w:szCs w:val="20"/>
        </w:rPr>
        <w:t>Suspension Therapy Equipment</w:t>
      </w:r>
      <w:r w:rsidR="00961AC6">
        <w:rPr>
          <w:rFonts w:ascii="Arial" w:eastAsia="Arial" w:hAnsi="Arial" w:cs="Arial"/>
          <w:sz w:val="20"/>
          <w:szCs w:val="20"/>
        </w:rPr>
        <w:t xml:space="preserve"> </w:t>
      </w:r>
    </w:p>
    <w:p w14:paraId="01BC9FFD" w14:textId="34EEE4F2" w:rsidR="00FE3651" w:rsidRPr="00BD68BC"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rPr>
      </w:pPr>
      <w:r w:rsidRPr="00BD68BC">
        <w:rPr>
          <w:rFonts w:ascii="Arial" w:eastAsia="Arial" w:hAnsi="Arial" w:cs="Arial"/>
          <w:b/>
          <w:bCs/>
          <w:sz w:val="20"/>
          <w:szCs w:val="20"/>
        </w:rPr>
        <w:t>Lot 4</w:t>
      </w:r>
      <w:r w:rsidRPr="00BD68BC">
        <w:rPr>
          <w:rFonts w:ascii="Arial" w:eastAsia="Arial" w:hAnsi="Arial" w:cs="Arial"/>
          <w:sz w:val="20"/>
          <w:szCs w:val="20"/>
        </w:rPr>
        <w:t xml:space="preserve">: </w:t>
      </w:r>
      <w:r w:rsidR="005B4343" w:rsidRPr="00BD68BC">
        <w:rPr>
          <w:rFonts w:ascii="Arial" w:eastAsia="Arial" w:hAnsi="Arial" w:cs="Arial"/>
          <w:color w:val="222222"/>
          <w:sz w:val="20"/>
          <w:szCs w:val="20"/>
        </w:rPr>
        <w:t>Continuous Passive Motion (CPM) and Dynamic Training Devices</w:t>
      </w:r>
      <w:r w:rsidR="00961AC6">
        <w:rPr>
          <w:rFonts w:ascii="Arial" w:eastAsia="Arial" w:hAnsi="Arial" w:cs="Arial"/>
          <w:color w:val="222222"/>
          <w:sz w:val="20"/>
          <w:szCs w:val="20"/>
        </w:rPr>
        <w:t xml:space="preserve"> </w:t>
      </w:r>
    </w:p>
    <w:p w14:paraId="3C525CDD" w14:textId="4BD1E3AB" w:rsidR="00FE3651" w:rsidRPr="00046E5F"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Lot 5</w:t>
      </w:r>
      <w:r w:rsidRPr="00046E5F">
        <w:rPr>
          <w:rFonts w:ascii="Arial" w:eastAsia="Arial" w:hAnsi="Arial" w:cs="Arial"/>
          <w:sz w:val="20"/>
          <w:szCs w:val="20"/>
          <w:highlight w:val="white"/>
        </w:rPr>
        <w:t xml:space="preserve">: </w:t>
      </w:r>
      <w:r w:rsidR="005B4343" w:rsidRPr="005B4343">
        <w:rPr>
          <w:rFonts w:ascii="Arial" w:eastAsia="Arial" w:hAnsi="Arial" w:cs="Arial"/>
          <w:sz w:val="20"/>
          <w:szCs w:val="20"/>
        </w:rPr>
        <w:t>Equipment for Balance Training and Musculoskeletal Rehabilitation</w:t>
      </w:r>
      <w:r w:rsidR="00961AC6">
        <w:rPr>
          <w:rFonts w:ascii="Arial" w:eastAsia="Arial" w:hAnsi="Arial" w:cs="Arial"/>
          <w:sz w:val="20"/>
          <w:szCs w:val="20"/>
        </w:rPr>
        <w:t xml:space="preserve"> </w:t>
      </w:r>
    </w:p>
    <w:p w14:paraId="3EC16DB8" w14:textId="4E17E319" w:rsidR="00FE3651" w:rsidRPr="005B4343" w:rsidRDefault="0000000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Lot 6</w:t>
      </w:r>
      <w:r w:rsidRPr="00046E5F">
        <w:rPr>
          <w:rFonts w:ascii="Arial" w:eastAsia="Arial" w:hAnsi="Arial" w:cs="Arial"/>
          <w:sz w:val="20"/>
          <w:szCs w:val="20"/>
          <w:highlight w:val="white"/>
        </w:rPr>
        <w:t xml:space="preserve">: </w:t>
      </w:r>
      <w:r w:rsidR="005B4343" w:rsidRPr="005B4343">
        <w:rPr>
          <w:rFonts w:ascii="Arial" w:eastAsia="Arial" w:hAnsi="Arial" w:cs="Arial"/>
          <w:color w:val="222222"/>
          <w:sz w:val="20"/>
          <w:szCs w:val="20"/>
        </w:rPr>
        <w:t>Equipment for Physical Therapy</w:t>
      </w:r>
      <w:r w:rsidR="00961AC6">
        <w:rPr>
          <w:rFonts w:ascii="Arial" w:eastAsia="Arial" w:hAnsi="Arial" w:cs="Arial"/>
          <w:color w:val="222222"/>
          <w:sz w:val="20"/>
          <w:szCs w:val="20"/>
        </w:rPr>
        <w:t xml:space="preserve"> </w:t>
      </w:r>
    </w:p>
    <w:p w14:paraId="3D459A5B" w14:textId="057016F8" w:rsidR="005B4343" w:rsidRPr="005B4343" w:rsidRDefault="005B4343" w:rsidP="005B4343">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7</w:t>
      </w:r>
      <w:r w:rsidRPr="00046E5F">
        <w:rPr>
          <w:rFonts w:ascii="Arial" w:eastAsia="Arial" w:hAnsi="Arial" w:cs="Arial"/>
          <w:sz w:val="20"/>
          <w:szCs w:val="20"/>
          <w:highlight w:val="white"/>
        </w:rPr>
        <w:t xml:space="preserve">: </w:t>
      </w:r>
      <w:r w:rsidRPr="005B4343">
        <w:rPr>
          <w:rFonts w:ascii="Arial" w:eastAsia="Arial" w:hAnsi="Arial" w:cs="Arial"/>
          <w:sz w:val="20"/>
          <w:szCs w:val="20"/>
        </w:rPr>
        <w:t>Medical Furniture and Rehabilitation Mirrors</w:t>
      </w:r>
      <w:r w:rsidR="00961AC6">
        <w:rPr>
          <w:rFonts w:ascii="Arial" w:eastAsia="Arial" w:hAnsi="Arial" w:cs="Arial"/>
          <w:sz w:val="20"/>
          <w:szCs w:val="20"/>
        </w:rPr>
        <w:t xml:space="preserve"> </w:t>
      </w:r>
    </w:p>
    <w:p w14:paraId="7A44E0C4" w14:textId="382DD640" w:rsidR="005B4343" w:rsidRPr="005B4343" w:rsidRDefault="005B4343" w:rsidP="005B4343">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8</w:t>
      </w:r>
      <w:r w:rsidRPr="00046E5F">
        <w:rPr>
          <w:rFonts w:ascii="Arial" w:eastAsia="Arial" w:hAnsi="Arial" w:cs="Arial"/>
          <w:sz w:val="20"/>
          <w:szCs w:val="20"/>
          <w:highlight w:val="white"/>
        </w:rPr>
        <w:t xml:space="preserve">: </w:t>
      </w:r>
      <w:r w:rsidR="007011C1" w:rsidRPr="007011C1">
        <w:rPr>
          <w:rFonts w:ascii="Arial" w:eastAsia="Arial" w:hAnsi="Arial" w:cs="Arial"/>
          <w:sz w:val="20"/>
          <w:szCs w:val="20"/>
        </w:rPr>
        <w:t>Cognitive Rehabilitation Equipment</w:t>
      </w:r>
      <w:r w:rsidR="00961AC6">
        <w:rPr>
          <w:rFonts w:ascii="Arial" w:eastAsia="Arial" w:hAnsi="Arial" w:cs="Arial"/>
          <w:sz w:val="20"/>
          <w:szCs w:val="20"/>
        </w:rPr>
        <w:t xml:space="preserve"> </w:t>
      </w:r>
    </w:p>
    <w:p w14:paraId="3F6FA841" w14:textId="51812AE4" w:rsidR="005B4343" w:rsidRPr="005B4343" w:rsidRDefault="005B4343" w:rsidP="005B4343">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9</w:t>
      </w:r>
      <w:r w:rsidRPr="00046E5F">
        <w:rPr>
          <w:rFonts w:ascii="Arial" w:eastAsia="Arial" w:hAnsi="Arial" w:cs="Arial"/>
          <w:sz w:val="20"/>
          <w:szCs w:val="20"/>
          <w:highlight w:val="white"/>
        </w:rPr>
        <w:t xml:space="preserve">: </w:t>
      </w:r>
      <w:r w:rsidR="007011C1" w:rsidRPr="007011C1">
        <w:rPr>
          <w:rFonts w:ascii="Arial" w:eastAsia="Arial" w:hAnsi="Arial" w:cs="Arial"/>
          <w:sz w:val="20"/>
          <w:szCs w:val="20"/>
        </w:rPr>
        <w:t>Assistive Technology and Occupational Therapy Equipment</w:t>
      </w:r>
      <w:r w:rsidR="002A1FAB">
        <w:rPr>
          <w:rFonts w:ascii="Arial" w:eastAsia="Arial" w:hAnsi="Arial" w:cs="Arial"/>
          <w:sz w:val="20"/>
          <w:szCs w:val="20"/>
        </w:rPr>
        <w:t xml:space="preserve"> </w:t>
      </w:r>
    </w:p>
    <w:p w14:paraId="4E896FEA" w14:textId="63575E45" w:rsidR="005B4343" w:rsidRPr="007011C1" w:rsidRDefault="005B4343" w:rsidP="005B4343">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10</w:t>
      </w:r>
      <w:r w:rsidRPr="00046E5F">
        <w:rPr>
          <w:rFonts w:ascii="Arial" w:eastAsia="Arial" w:hAnsi="Arial" w:cs="Arial"/>
          <w:sz w:val="20"/>
          <w:szCs w:val="20"/>
          <w:highlight w:val="white"/>
        </w:rPr>
        <w:t xml:space="preserve">: </w:t>
      </w:r>
      <w:r w:rsidR="007011C1" w:rsidRPr="007011C1">
        <w:rPr>
          <w:rFonts w:ascii="Arial" w:eastAsia="Arial" w:hAnsi="Arial" w:cs="Arial"/>
          <w:sz w:val="20"/>
          <w:szCs w:val="20"/>
        </w:rPr>
        <w:t>Electromyograph (EMG)</w:t>
      </w:r>
      <w:r w:rsidR="002A1FAB">
        <w:rPr>
          <w:rFonts w:ascii="Arial" w:eastAsia="Arial" w:hAnsi="Arial" w:cs="Arial"/>
          <w:sz w:val="20"/>
          <w:szCs w:val="20"/>
        </w:rPr>
        <w:t xml:space="preserve"> </w:t>
      </w:r>
    </w:p>
    <w:p w14:paraId="67C9A4AF" w14:textId="29C8570F" w:rsidR="007011C1" w:rsidRPr="007011C1" w:rsidRDefault="007011C1" w:rsidP="007011C1">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11</w:t>
      </w:r>
      <w:r w:rsidRPr="007011C1">
        <w:rPr>
          <w:rFonts w:ascii="Arial" w:eastAsia="Arial" w:hAnsi="Arial" w:cs="Arial"/>
          <w:sz w:val="20"/>
          <w:szCs w:val="20"/>
          <w:highlight w:val="white"/>
        </w:rPr>
        <w:t xml:space="preserve">: </w:t>
      </w:r>
      <w:r>
        <w:rPr>
          <w:rFonts w:ascii="Arial" w:eastAsia="Arial" w:hAnsi="Arial" w:cs="Arial"/>
          <w:sz w:val="20"/>
          <w:szCs w:val="20"/>
        </w:rPr>
        <w:t xml:space="preserve">Rehabilitation </w:t>
      </w:r>
      <w:r w:rsidRPr="007011C1">
        <w:rPr>
          <w:rFonts w:ascii="Arial" w:eastAsia="Arial" w:hAnsi="Arial" w:cs="Arial"/>
          <w:sz w:val="20"/>
          <w:szCs w:val="20"/>
        </w:rPr>
        <w:t>Furniture</w:t>
      </w:r>
      <w:r w:rsidR="002A1FAB">
        <w:rPr>
          <w:rFonts w:ascii="Arial" w:eastAsia="Arial" w:hAnsi="Arial" w:cs="Arial"/>
          <w:sz w:val="20"/>
          <w:szCs w:val="20"/>
        </w:rPr>
        <w:t xml:space="preserve"> </w:t>
      </w:r>
    </w:p>
    <w:p w14:paraId="2F8C6F8B" w14:textId="05C093B3" w:rsidR="005B4343" w:rsidRPr="007011C1" w:rsidRDefault="005B4343">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1</w:t>
      </w:r>
      <w:r w:rsidR="007011C1">
        <w:rPr>
          <w:rFonts w:ascii="Arial" w:eastAsia="Arial" w:hAnsi="Arial" w:cs="Arial"/>
          <w:b/>
          <w:bCs/>
          <w:sz w:val="20"/>
          <w:szCs w:val="20"/>
          <w:highlight w:val="white"/>
        </w:rPr>
        <w:t>2</w:t>
      </w:r>
      <w:r w:rsidR="007011C1" w:rsidRPr="007011C1">
        <w:rPr>
          <w:rFonts w:ascii="Arial" w:eastAsia="Arial" w:hAnsi="Arial" w:cs="Arial"/>
          <w:sz w:val="20"/>
          <w:szCs w:val="20"/>
          <w:highlight w:val="white"/>
        </w:rPr>
        <w:t xml:space="preserve">: </w:t>
      </w:r>
      <w:r w:rsidR="007011C1" w:rsidRPr="007011C1">
        <w:rPr>
          <w:rFonts w:ascii="Arial" w:eastAsia="Arial" w:hAnsi="Arial" w:cs="Arial"/>
          <w:sz w:val="20"/>
          <w:szCs w:val="20"/>
        </w:rPr>
        <w:t>Pharmaceutical Refrigerator</w:t>
      </w:r>
      <w:r w:rsidR="002A1FAB">
        <w:rPr>
          <w:rFonts w:ascii="Arial" w:eastAsia="Arial" w:hAnsi="Arial" w:cs="Arial"/>
          <w:sz w:val="20"/>
          <w:szCs w:val="20"/>
        </w:rPr>
        <w:t xml:space="preserve"> </w:t>
      </w:r>
    </w:p>
    <w:p w14:paraId="5A775B31" w14:textId="47EEE4D0" w:rsidR="007011C1" w:rsidRPr="00246550" w:rsidRDefault="007011C1">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Calibri" w:eastAsia="Calibri" w:hAnsi="Calibri" w:cs="Calibri"/>
          <w:sz w:val="20"/>
          <w:szCs w:val="20"/>
          <w:highlight w:val="white"/>
        </w:rPr>
      </w:pPr>
      <w:r w:rsidRPr="00046E5F">
        <w:rPr>
          <w:rFonts w:ascii="Arial" w:eastAsia="Arial" w:hAnsi="Arial" w:cs="Arial"/>
          <w:b/>
          <w:bCs/>
          <w:sz w:val="20"/>
          <w:szCs w:val="20"/>
          <w:highlight w:val="white"/>
        </w:rPr>
        <w:t xml:space="preserve">Lot </w:t>
      </w:r>
      <w:r>
        <w:rPr>
          <w:rFonts w:ascii="Arial" w:eastAsia="Arial" w:hAnsi="Arial" w:cs="Arial"/>
          <w:b/>
          <w:bCs/>
          <w:sz w:val="20"/>
          <w:szCs w:val="20"/>
          <w:highlight w:val="white"/>
        </w:rPr>
        <w:t>13</w:t>
      </w:r>
      <w:r w:rsidRPr="007011C1">
        <w:rPr>
          <w:rFonts w:ascii="Arial" w:eastAsia="Arial" w:hAnsi="Arial" w:cs="Arial"/>
          <w:sz w:val="20"/>
          <w:szCs w:val="20"/>
          <w:highlight w:val="white"/>
        </w:rPr>
        <w:t>:</w:t>
      </w:r>
      <w:r>
        <w:rPr>
          <w:rFonts w:ascii="Arial" w:eastAsia="Arial" w:hAnsi="Arial" w:cs="Arial"/>
          <w:sz w:val="20"/>
          <w:szCs w:val="20"/>
          <w:highlight w:val="white"/>
        </w:rPr>
        <w:t xml:space="preserve"> </w:t>
      </w:r>
      <w:r w:rsidRPr="007011C1">
        <w:rPr>
          <w:rFonts w:ascii="Arial" w:eastAsia="Arial" w:hAnsi="Arial" w:cs="Arial"/>
          <w:sz w:val="20"/>
          <w:szCs w:val="20"/>
        </w:rPr>
        <w:t>Therapy Table for Upper Extremity Rehabilitation</w:t>
      </w:r>
      <w:r w:rsidR="002A1FAB">
        <w:rPr>
          <w:rFonts w:ascii="Arial" w:eastAsia="Arial" w:hAnsi="Arial" w:cs="Arial"/>
          <w:sz w:val="20"/>
          <w:szCs w:val="20"/>
        </w:rPr>
        <w:t xml:space="preserve"> </w:t>
      </w:r>
    </w:p>
    <w:p w14:paraId="3097A53D" w14:textId="761C48D7" w:rsidR="00246550" w:rsidRPr="00246550" w:rsidRDefault="00246550">
      <w:pPr>
        <w:numPr>
          <w:ilvl w:val="0"/>
          <w:numId w:val="8"/>
        </w:numPr>
        <w:pBdr>
          <w:top w:val="none" w:sz="0" w:space="0" w:color="000000"/>
          <w:left w:val="none" w:sz="0" w:space="0" w:color="000000"/>
          <w:bottom w:val="none" w:sz="0" w:space="0" w:color="000000"/>
          <w:right w:val="none" w:sz="0" w:space="0" w:color="000000"/>
          <w:between w:val="none" w:sz="0" w:space="0" w:color="000000"/>
        </w:pBdr>
        <w:ind w:left="709"/>
        <w:jc w:val="both"/>
        <w:rPr>
          <w:rFonts w:ascii="Arial" w:eastAsia="Calibri" w:hAnsi="Arial" w:cs="Arial"/>
          <w:sz w:val="20"/>
          <w:szCs w:val="20"/>
          <w:highlight w:val="white"/>
        </w:rPr>
      </w:pPr>
      <w:r w:rsidRPr="00246550">
        <w:rPr>
          <w:rFonts w:ascii="Arial" w:eastAsia="Arial" w:hAnsi="Arial" w:cs="Arial"/>
          <w:b/>
          <w:bCs/>
          <w:sz w:val="20"/>
          <w:szCs w:val="20"/>
          <w:highlight w:val="white"/>
          <w:lang w:val="en-US"/>
        </w:rPr>
        <w:t>Lot 14</w:t>
      </w:r>
      <w:r w:rsidRPr="00246550">
        <w:rPr>
          <w:rFonts w:ascii="Arial" w:eastAsia="Calibri" w:hAnsi="Arial" w:cs="Arial"/>
          <w:sz w:val="20"/>
          <w:szCs w:val="20"/>
          <w:highlight w:val="white"/>
        </w:rPr>
        <w:t>: Medical beds</w:t>
      </w:r>
      <w:r>
        <w:rPr>
          <w:rFonts w:ascii="Arial" w:eastAsia="Calibri" w:hAnsi="Arial" w:cs="Arial"/>
          <w:sz w:val="20"/>
          <w:szCs w:val="20"/>
          <w:highlight w:val="white"/>
        </w:rPr>
        <w:t>.</w:t>
      </w:r>
    </w:p>
    <w:p w14:paraId="122683D0" w14:textId="65809CFD" w:rsidR="007011C1" w:rsidRPr="00E32C7A" w:rsidRDefault="007011C1" w:rsidP="007011C1">
      <w:pPr>
        <w:spacing w:before="240" w:line="276" w:lineRule="auto"/>
        <w:jc w:val="both"/>
        <w:rPr>
          <w:rFonts w:ascii="Arial" w:eastAsia="Arial" w:hAnsi="Arial" w:cs="Arial"/>
          <w:sz w:val="20"/>
          <w:szCs w:val="20"/>
          <w:lang w:val="en-US"/>
        </w:rPr>
      </w:pPr>
      <w:r w:rsidRPr="007011C1">
        <w:rPr>
          <w:rFonts w:ascii="Arial" w:eastAsia="Arial" w:hAnsi="Arial" w:cs="Arial"/>
          <w:sz w:val="20"/>
          <w:szCs w:val="20"/>
          <w:lang w:val="uk-UA"/>
        </w:rPr>
        <w:lastRenderedPageBreak/>
        <w:t>The assignment includes the supply, delivery, installation</w:t>
      </w:r>
      <w:r w:rsidR="00E32C7A">
        <w:rPr>
          <w:rFonts w:ascii="Arial" w:eastAsia="Arial" w:hAnsi="Arial" w:cs="Arial"/>
          <w:sz w:val="20"/>
          <w:szCs w:val="20"/>
          <w:lang w:val="en-US"/>
        </w:rPr>
        <w:t xml:space="preserve"> (where applicable)</w:t>
      </w:r>
      <w:r w:rsidRPr="007011C1">
        <w:rPr>
          <w:rFonts w:ascii="Arial" w:eastAsia="Arial" w:hAnsi="Arial" w:cs="Arial"/>
          <w:sz w:val="20"/>
          <w:szCs w:val="20"/>
          <w:lang w:val="uk-UA"/>
        </w:rPr>
        <w:t xml:space="preserve">, and commissioning of medical equipment required for rehabilitation services. The equipment will be delivered to two </w:t>
      </w:r>
      <w:r w:rsidR="00E32C7A">
        <w:rPr>
          <w:rFonts w:ascii="Arial" w:eastAsia="Arial" w:hAnsi="Arial" w:cs="Arial"/>
          <w:sz w:val="20"/>
          <w:szCs w:val="20"/>
          <w:lang w:val="en-US"/>
        </w:rPr>
        <w:t xml:space="preserve">cluster </w:t>
      </w:r>
      <w:r w:rsidRPr="007011C1">
        <w:rPr>
          <w:rFonts w:ascii="Arial" w:eastAsia="Arial" w:hAnsi="Arial" w:cs="Arial"/>
          <w:sz w:val="20"/>
          <w:szCs w:val="20"/>
          <w:lang w:val="uk-UA"/>
        </w:rPr>
        <w:t xml:space="preserve">healthcare institutions located in </w:t>
      </w:r>
      <w:r w:rsidR="00E32C7A">
        <w:rPr>
          <w:rFonts w:ascii="Arial" w:eastAsia="Arial" w:hAnsi="Arial" w:cs="Arial"/>
          <w:sz w:val="20"/>
          <w:szCs w:val="20"/>
          <w:lang w:val="en-US"/>
        </w:rPr>
        <w:t xml:space="preserve">the </w:t>
      </w:r>
      <w:r w:rsidRPr="007011C1">
        <w:rPr>
          <w:rFonts w:ascii="Arial" w:eastAsia="Arial" w:hAnsi="Arial" w:cs="Arial"/>
          <w:sz w:val="20"/>
          <w:szCs w:val="20"/>
          <w:lang w:val="uk-UA"/>
        </w:rPr>
        <w:t>Odesa region. Please note that access to one of the delivery locations requires transit through the Palanca border crossing.</w:t>
      </w:r>
      <w:r w:rsidR="00E32C7A">
        <w:rPr>
          <w:rFonts w:ascii="Arial" w:eastAsia="Arial" w:hAnsi="Arial" w:cs="Arial"/>
          <w:sz w:val="20"/>
          <w:szCs w:val="20"/>
          <w:lang w:val="en-US"/>
        </w:rPr>
        <w:t xml:space="preserve"> T</w:t>
      </w:r>
      <w:r w:rsidR="00E32C7A" w:rsidRPr="00E32C7A">
        <w:rPr>
          <w:rFonts w:ascii="Arial" w:eastAsia="Arial" w:hAnsi="Arial" w:cs="Arial"/>
          <w:sz w:val="20"/>
          <w:szCs w:val="20"/>
          <w:lang w:val="en-US"/>
        </w:rPr>
        <w:t>o enable bidders to adequately assess the logistical requirements associated with delivery,</w:t>
      </w:r>
      <w:r w:rsidR="00E32C7A">
        <w:rPr>
          <w:rFonts w:ascii="Arial" w:eastAsia="Arial" w:hAnsi="Arial" w:cs="Arial"/>
          <w:sz w:val="20"/>
          <w:szCs w:val="20"/>
          <w:lang w:val="en-US"/>
        </w:rPr>
        <w:t xml:space="preserve"> the </w:t>
      </w:r>
      <w:r w:rsidR="00E32C7A" w:rsidRPr="00E32C7A">
        <w:rPr>
          <w:rFonts w:ascii="Arial" w:eastAsia="Arial" w:hAnsi="Arial" w:cs="Arial"/>
          <w:sz w:val="20"/>
          <w:szCs w:val="20"/>
          <w:lang w:val="en-US"/>
        </w:rPr>
        <w:t>two delivery locations are situated at an average distance of approximately 100 km from Odesa</w:t>
      </w:r>
      <w:r w:rsidR="00E32C7A">
        <w:rPr>
          <w:rFonts w:ascii="Arial" w:eastAsia="Arial" w:hAnsi="Arial" w:cs="Arial"/>
          <w:sz w:val="20"/>
          <w:szCs w:val="20"/>
          <w:lang w:val="en-US"/>
        </w:rPr>
        <w:t>.</w:t>
      </w:r>
    </w:p>
    <w:p w14:paraId="7163E3BC" w14:textId="3A59A175" w:rsidR="007011C1" w:rsidRDefault="007011C1" w:rsidP="007011C1">
      <w:pPr>
        <w:spacing w:line="276" w:lineRule="auto"/>
        <w:jc w:val="both"/>
        <w:rPr>
          <w:rFonts w:ascii="Arial" w:eastAsia="Arial" w:hAnsi="Arial" w:cs="Arial"/>
          <w:sz w:val="20"/>
          <w:szCs w:val="20"/>
          <w:lang w:val="uk-UA"/>
        </w:rPr>
      </w:pPr>
      <w:r w:rsidRPr="007011C1">
        <w:rPr>
          <w:rFonts w:ascii="Arial" w:eastAsia="Arial" w:hAnsi="Arial" w:cs="Arial"/>
          <w:sz w:val="20"/>
          <w:szCs w:val="20"/>
          <w:lang w:val="uk-UA"/>
        </w:rPr>
        <w:t>The detailed Equipment Allocation Table, specifying the allocation of equipment and delivery destinations, will be provided to the successful bidder</w:t>
      </w:r>
      <w:r>
        <w:rPr>
          <w:rFonts w:ascii="Arial" w:eastAsia="Arial" w:hAnsi="Arial" w:cs="Arial"/>
          <w:sz w:val="20"/>
          <w:szCs w:val="20"/>
          <w:lang w:val="en-US"/>
        </w:rPr>
        <w:t>s</w:t>
      </w:r>
      <w:r w:rsidRPr="007011C1">
        <w:rPr>
          <w:rFonts w:ascii="Arial" w:eastAsia="Arial" w:hAnsi="Arial" w:cs="Arial"/>
          <w:sz w:val="20"/>
          <w:szCs w:val="20"/>
          <w:lang w:val="uk-UA"/>
        </w:rPr>
        <w:t xml:space="preserve"> following the completion of the tender procedure.</w:t>
      </w:r>
    </w:p>
    <w:p w14:paraId="5D1F344D" w14:textId="5A9FE5C8" w:rsidR="00FE3651" w:rsidRPr="007011C1" w:rsidRDefault="00000000">
      <w:pPr>
        <w:spacing w:before="240" w:line="276" w:lineRule="auto"/>
        <w:jc w:val="both"/>
        <w:rPr>
          <w:rFonts w:ascii="Arial" w:eastAsia="Arial" w:hAnsi="Arial" w:cs="Arial"/>
          <w:sz w:val="20"/>
          <w:szCs w:val="20"/>
          <w:lang w:val="uk-UA"/>
        </w:rPr>
      </w:pPr>
      <w:r>
        <w:rPr>
          <w:rFonts w:ascii="Arial" w:eastAsia="Arial" w:hAnsi="Arial" w:cs="Arial"/>
          <w:sz w:val="20"/>
          <w:szCs w:val="20"/>
        </w:rPr>
        <w:t xml:space="preserve">A detailed list of items and technical specifications is provided in </w:t>
      </w:r>
      <w:r>
        <w:rPr>
          <w:rFonts w:ascii="Arial" w:eastAsia="Arial" w:hAnsi="Arial" w:cs="Arial"/>
          <w:sz w:val="20"/>
          <w:szCs w:val="20"/>
          <w:u w:val="single"/>
        </w:rPr>
        <w:t xml:space="preserve">Annex 2 – Financial Proposal </w:t>
      </w:r>
      <w:r>
        <w:rPr>
          <w:rFonts w:ascii="Arial" w:eastAsia="Arial" w:hAnsi="Arial" w:cs="Arial"/>
          <w:sz w:val="20"/>
          <w:szCs w:val="20"/>
        </w:rPr>
        <w:t>(provided for each L</w:t>
      </w:r>
      <w:r w:rsidR="007011C1">
        <w:rPr>
          <w:rFonts w:ascii="Arial" w:eastAsia="Arial" w:hAnsi="Arial" w:cs="Arial"/>
          <w:sz w:val="20"/>
          <w:szCs w:val="20"/>
        </w:rPr>
        <w:t>ot</w:t>
      </w:r>
      <w:r>
        <w:rPr>
          <w:rFonts w:ascii="Arial" w:eastAsia="Arial" w:hAnsi="Arial" w:cs="Arial"/>
          <w:sz w:val="20"/>
          <w:szCs w:val="20"/>
        </w:rPr>
        <w:t>).</w:t>
      </w:r>
    </w:p>
    <w:p w14:paraId="1126469E" w14:textId="77777777" w:rsidR="00FE3651" w:rsidRDefault="00FE3651">
      <w:pPr>
        <w:spacing w:line="276" w:lineRule="auto"/>
        <w:jc w:val="both"/>
        <w:rPr>
          <w:rFonts w:ascii="Arial" w:eastAsia="Arial" w:hAnsi="Arial" w:cs="Arial"/>
          <w:sz w:val="20"/>
          <w:szCs w:val="20"/>
        </w:rPr>
      </w:pPr>
    </w:p>
    <w:p w14:paraId="046FCA4F" w14:textId="77777777" w:rsidR="00FE3651" w:rsidRDefault="00000000" w:rsidP="00091F87">
      <w:pPr>
        <w:spacing w:line="276" w:lineRule="auto"/>
        <w:jc w:val="both"/>
        <w:rPr>
          <w:rFonts w:ascii="Arial" w:eastAsia="Arial" w:hAnsi="Arial" w:cs="Arial"/>
          <w:sz w:val="20"/>
          <w:szCs w:val="20"/>
        </w:rPr>
      </w:pPr>
      <w:r>
        <w:rPr>
          <w:rFonts w:ascii="Arial" w:eastAsia="Arial" w:hAnsi="Arial" w:cs="Arial"/>
          <w:sz w:val="20"/>
          <w:szCs w:val="20"/>
          <w:u w:val="single"/>
        </w:rPr>
        <w:t>Requirements for the Supplier</w:t>
      </w:r>
    </w:p>
    <w:p w14:paraId="4FB0E0EF" w14:textId="77777777" w:rsidR="00FE3651" w:rsidRDefault="00000000" w:rsidP="00091F87">
      <w:pPr>
        <w:spacing w:line="276" w:lineRule="auto"/>
        <w:jc w:val="both"/>
        <w:rPr>
          <w:rFonts w:ascii="Arial" w:eastAsia="Arial" w:hAnsi="Arial" w:cs="Arial"/>
          <w:sz w:val="20"/>
          <w:szCs w:val="20"/>
        </w:rPr>
      </w:pPr>
      <w:r>
        <w:rPr>
          <w:rFonts w:ascii="Arial" w:eastAsia="Arial" w:hAnsi="Arial" w:cs="Arial"/>
          <w:sz w:val="20"/>
          <w:szCs w:val="20"/>
        </w:rPr>
        <w:t>The Supplier must meet the following minimum qualifications:</w:t>
      </w:r>
    </w:p>
    <w:p w14:paraId="1FC2CBCD" w14:textId="77777777" w:rsidR="00091F87" w:rsidRDefault="00000000" w:rsidP="00091F87">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Authorized dealer status</w:t>
      </w:r>
    </w:p>
    <w:p w14:paraId="2929FCCD" w14:textId="77777777" w:rsidR="00091F87" w:rsidRDefault="00000000" w:rsidP="00091F87">
      <w:pPr>
        <w:pStyle w:val="ListParagraph"/>
        <w:numPr>
          <w:ilvl w:val="0"/>
          <w:numId w:val="16"/>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t>the Supplier must be an authorized dealer or official distributor of the proposed equipment / medical devices;</w:t>
      </w:r>
    </w:p>
    <w:p w14:paraId="73850210" w14:textId="44486A7C" w:rsidR="00FE3651" w:rsidRPr="00091F87" w:rsidRDefault="00000000" w:rsidP="00091F87">
      <w:pPr>
        <w:pStyle w:val="ListParagraph"/>
        <w:numPr>
          <w:ilvl w:val="0"/>
          <w:numId w:val="16"/>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t>this must be confirmed through official documentation issued by the manufacturer.</w:t>
      </w:r>
    </w:p>
    <w:p w14:paraId="1337F018" w14:textId="77777777" w:rsidR="00091F87" w:rsidRDefault="00000000" w:rsidP="00091F87">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Service and maintenance capacity</w:t>
      </w:r>
    </w:p>
    <w:p w14:paraId="099E08B2" w14:textId="65FD980E" w:rsidR="00091F87" w:rsidRPr="00BD68BC" w:rsidRDefault="00000000" w:rsidP="00BD68BC">
      <w:pPr>
        <w:pStyle w:val="ListParagraph"/>
        <w:numPr>
          <w:ilvl w:val="0"/>
          <w:numId w:val="15"/>
        </w:numPr>
        <w:spacing w:line="276" w:lineRule="auto"/>
        <w:jc w:val="both"/>
        <w:rPr>
          <w:rFonts w:ascii="Arial" w:eastAsia="Arial" w:hAnsi="Arial" w:cs="Arial"/>
          <w:sz w:val="20"/>
          <w:szCs w:val="20"/>
        </w:rPr>
      </w:pPr>
      <w:r w:rsidRPr="00091F87">
        <w:rPr>
          <w:rFonts w:ascii="Arial" w:eastAsia="Arial" w:hAnsi="Arial" w:cs="Arial"/>
          <w:sz w:val="20"/>
          <w:szCs w:val="20"/>
        </w:rPr>
        <w:t xml:space="preserve">the Supplier must ensure access to authorized service </w:t>
      </w:r>
      <w:proofErr w:type="spellStart"/>
      <w:r w:rsidRPr="00091F87">
        <w:rPr>
          <w:rFonts w:ascii="Arial" w:eastAsia="Arial" w:hAnsi="Arial" w:cs="Arial"/>
          <w:sz w:val="20"/>
          <w:szCs w:val="20"/>
        </w:rPr>
        <w:t>centers</w:t>
      </w:r>
      <w:proofErr w:type="spellEnd"/>
      <w:r w:rsidRPr="00091F87">
        <w:rPr>
          <w:rFonts w:ascii="Arial" w:eastAsia="Arial" w:hAnsi="Arial" w:cs="Arial"/>
          <w:sz w:val="20"/>
          <w:szCs w:val="20"/>
        </w:rPr>
        <w:t xml:space="preserve"> across Ukraine for all proposed equipment;</w:t>
      </w:r>
    </w:p>
    <w:p w14:paraId="418527EE" w14:textId="5EC2788C" w:rsidR="00FE3651" w:rsidRPr="00091F87" w:rsidRDefault="00000000" w:rsidP="00091F87">
      <w:pPr>
        <w:pStyle w:val="ListParagraph"/>
        <w:numPr>
          <w:ilvl w:val="0"/>
          <w:numId w:val="15"/>
        </w:numPr>
        <w:spacing w:line="276" w:lineRule="auto"/>
        <w:jc w:val="both"/>
        <w:rPr>
          <w:rFonts w:ascii="Arial" w:eastAsia="Arial" w:hAnsi="Arial" w:cs="Arial"/>
          <w:sz w:val="20"/>
          <w:szCs w:val="20"/>
        </w:rPr>
      </w:pPr>
      <w:r w:rsidRPr="00091F87">
        <w:rPr>
          <w:rFonts w:ascii="Arial" w:eastAsia="Arial" w:hAnsi="Arial" w:cs="Arial"/>
          <w:sz w:val="20"/>
          <w:szCs w:val="20"/>
        </w:rPr>
        <w:t>the Supplier must guarantee the availability of spare parts throughout the entire warranty period</w:t>
      </w:r>
      <w:r w:rsidR="00BD68BC">
        <w:rPr>
          <w:rFonts w:ascii="Arial" w:eastAsia="Arial" w:hAnsi="Arial" w:cs="Arial"/>
          <w:sz w:val="20"/>
          <w:szCs w:val="20"/>
        </w:rPr>
        <w:t xml:space="preserve"> </w:t>
      </w:r>
      <w:r w:rsidR="00BD68BC" w:rsidRPr="00091F87">
        <w:rPr>
          <w:rFonts w:ascii="Arial" w:eastAsia="Arial" w:hAnsi="Arial" w:cs="Arial"/>
          <w:sz w:val="20"/>
          <w:szCs w:val="20"/>
        </w:rPr>
        <w:t>(where applicable)</w:t>
      </w:r>
      <w:r w:rsidRPr="00091F87">
        <w:rPr>
          <w:rFonts w:ascii="Arial" w:eastAsia="Arial" w:hAnsi="Arial" w:cs="Arial"/>
          <w:sz w:val="20"/>
          <w:szCs w:val="20"/>
        </w:rPr>
        <w:t>.</w:t>
      </w:r>
    </w:p>
    <w:p w14:paraId="3FAD8659" w14:textId="77777777" w:rsidR="00091F87" w:rsidRDefault="00000000" w:rsidP="00091F87">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Delivery, installation, and entry into service</w:t>
      </w:r>
    </w:p>
    <w:p w14:paraId="0E38B01E" w14:textId="7832171D" w:rsidR="00091F87" w:rsidRDefault="00000000" w:rsidP="00091F87">
      <w:pPr>
        <w:pStyle w:val="ListParagraph"/>
        <w:numPr>
          <w:ilvl w:val="0"/>
          <w:numId w:val="17"/>
        </w:numPr>
        <w:spacing w:line="276" w:lineRule="auto"/>
        <w:jc w:val="both"/>
        <w:rPr>
          <w:rFonts w:ascii="Arial" w:eastAsia="Arial" w:hAnsi="Arial" w:cs="Arial"/>
          <w:sz w:val="20"/>
          <w:szCs w:val="20"/>
        </w:rPr>
      </w:pPr>
      <w:r w:rsidRPr="00091F87">
        <w:rPr>
          <w:rFonts w:ascii="Arial" w:eastAsia="Arial" w:hAnsi="Arial" w:cs="Arial"/>
          <w:sz w:val="20"/>
          <w:szCs w:val="20"/>
        </w:rPr>
        <w:t xml:space="preserve">the Supplier must provide delivery of all equipment to </w:t>
      </w:r>
      <w:r w:rsidR="00BD68BC">
        <w:rPr>
          <w:rFonts w:ascii="Arial" w:eastAsia="Arial" w:hAnsi="Arial" w:cs="Arial"/>
          <w:sz w:val="20"/>
          <w:szCs w:val="20"/>
        </w:rPr>
        <w:t>the designated hospitals</w:t>
      </w:r>
      <w:r w:rsidRPr="00091F87">
        <w:rPr>
          <w:rFonts w:ascii="Arial" w:eastAsia="Arial" w:hAnsi="Arial" w:cs="Arial"/>
          <w:sz w:val="20"/>
          <w:szCs w:val="20"/>
        </w:rPr>
        <w:t>;</w:t>
      </w:r>
    </w:p>
    <w:p w14:paraId="5D7EBC43" w14:textId="77777777" w:rsidR="00091F87" w:rsidRDefault="00000000" w:rsidP="00091F87">
      <w:pPr>
        <w:pStyle w:val="ListParagraph"/>
        <w:numPr>
          <w:ilvl w:val="0"/>
          <w:numId w:val="17"/>
        </w:numPr>
        <w:spacing w:line="276" w:lineRule="auto"/>
        <w:jc w:val="both"/>
        <w:rPr>
          <w:rFonts w:ascii="Arial" w:eastAsia="Arial" w:hAnsi="Arial" w:cs="Arial"/>
          <w:sz w:val="20"/>
          <w:szCs w:val="20"/>
        </w:rPr>
      </w:pPr>
      <w:r w:rsidRPr="00091F87">
        <w:rPr>
          <w:rFonts w:ascii="Arial" w:eastAsia="Arial" w:hAnsi="Arial" w:cs="Arial"/>
          <w:sz w:val="20"/>
          <w:szCs w:val="20"/>
        </w:rPr>
        <w:t>the Supplier must provide installation, setup, and entry into service of all equipment by qualified technicians (where applicable);</w:t>
      </w:r>
    </w:p>
    <w:p w14:paraId="21ED6DB3" w14:textId="326EBE13" w:rsidR="00FE3651" w:rsidRPr="00091F87" w:rsidRDefault="00000000" w:rsidP="00091F87">
      <w:pPr>
        <w:pStyle w:val="ListParagraph"/>
        <w:numPr>
          <w:ilvl w:val="0"/>
          <w:numId w:val="17"/>
        </w:numPr>
        <w:spacing w:line="276" w:lineRule="auto"/>
        <w:jc w:val="both"/>
        <w:rPr>
          <w:rFonts w:ascii="Arial" w:eastAsia="Arial" w:hAnsi="Arial" w:cs="Arial"/>
          <w:sz w:val="20"/>
          <w:szCs w:val="20"/>
        </w:rPr>
      </w:pPr>
      <w:r w:rsidRPr="00091F87">
        <w:rPr>
          <w:rFonts w:ascii="Arial" w:eastAsia="Arial" w:hAnsi="Arial" w:cs="Arial"/>
          <w:sz w:val="20"/>
          <w:szCs w:val="20"/>
        </w:rPr>
        <w:t xml:space="preserve">the Supplier must provide user training (where applicable). </w:t>
      </w:r>
    </w:p>
    <w:p w14:paraId="789967B6" w14:textId="77777777" w:rsidR="00091F87" w:rsidRDefault="00000000" w:rsidP="00091F87">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Warranty</w:t>
      </w:r>
    </w:p>
    <w:p w14:paraId="12DA5FF5" w14:textId="77777777" w:rsidR="00091F87" w:rsidRDefault="00000000" w:rsidP="00091F87">
      <w:pPr>
        <w:pStyle w:val="ListParagraph"/>
        <w:numPr>
          <w:ilvl w:val="0"/>
          <w:numId w:val="18"/>
        </w:numPr>
        <w:spacing w:line="276" w:lineRule="auto"/>
        <w:jc w:val="both"/>
        <w:rPr>
          <w:rFonts w:ascii="Arial" w:eastAsia="Arial" w:hAnsi="Arial" w:cs="Arial"/>
          <w:sz w:val="20"/>
          <w:szCs w:val="20"/>
        </w:rPr>
      </w:pPr>
      <w:r w:rsidRPr="00091F87">
        <w:rPr>
          <w:rFonts w:ascii="Arial" w:eastAsia="Arial" w:hAnsi="Arial" w:cs="Arial"/>
          <w:sz w:val="20"/>
          <w:szCs w:val="20"/>
        </w:rPr>
        <w:t>all supplied items must be covered by a minimum warranty of twelve (12) months, or longer where required by the technical nature of the equipment;</w:t>
      </w:r>
    </w:p>
    <w:p w14:paraId="10ED8F5E" w14:textId="0067FBB7" w:rsidR="00FE3651" w:rsidRPr="00091F87" w:rsidRDefault="00091F87" w:rsidP="00091F87">
      <w:pPr>
        <w:pStyle w:val="ListParagraph"/>
        <w:numPr>
          <w:ilvl w:val="0"/>
          <w:numId w:val="18"/>
        </w:numPr>
        <w:spacing w:line="276" w:lineRule="auto"/>
        <w:jc w:val="both"/>
        <w:rPr>
          <w:rFonts w:ascii="Arial" w:eastAsia="Arial" w:hAnsi="Arial" w:cs="Arial"/>
          <w:sz w:val="20"/>
          <w:szCs w:val="20"/>
        </w:rPr>
      </w:pPr>
      <w:r w:rsidRPr="00091F87">
        <w:rPr>
          <w:rFonts w:ascii="Arial" w:eastAsia="Arial" w:hAnsi="Arial" w:cs="Arial"/>
          <w:sz w:val="20"/>
          <w:szCs w:val="20"/>
        </w:rPr>
        <w:t xml:space="preserve">the warranty must include free-of-charge repairs, spare parts, and maintenance throughout the warranty period, including on-site component replacement or service </w:t>
      </w:r>
      <w:proofErr w:type="spellStart"/>
      <w:r w:rsidRPr="00091F87">
        <w:rPr>
          <w:rFonts w:ascii="Arial" w:eastAsia="Arial" w:hAnsi="Arial" w:cs="Arial"/>
          <w:sz w:val="20"/>
          <w:szCs w:val="20"/>
        </w:rPr>
        <w:t>center</w:t>
      </w:r>
      <w:proofErr w:type="spellEnd"/>
      <w:r w:rsidRPr="00091F87">
        <w:rPr>
          <w:rFonts w:ascii="Arial" w:eastAsia="Arial" w:hAnsi="Arial" w:cs="Arial"/>
          <w:sz w:val="20"/>
          <w:szCs w:val="20"/>
        </w:rPr>
        <w:t xml:space="preserve"> repairs for issues not caused by the client</w:t>
      </w:r>
      <w:r w:rsidR="00BD68BC">
        <w:rPr>
          <w:rFonts w:ascii="Arial" w:eastAsia="Arial" w:hAnsi="Arial" w:cs="Arial"/>
          <w:sz w:val="20"/>
          <w:szCs w:val="20"/>
        </w:rPr>
        <w:t xml:space="preserve"> </w:t>
      </w:r>
      <w:r w:rsidR="00BD68BC" w:rsidRPr="00091F87">
        <w:rPr>
          <w:rFonts w:ascii="Arial" w:eastAsia="Arial" w:hAnsi="Arial" w:cs="Arial"/>
          <w:sz w:val="20"/>
          <w:szCs w:val="20"/>
        </w:rPr>
        <w:t>(where applicable)</w:t>
      </w:r>
      <w:r w:rsidRPr="00091F87">
        <w:rPr>
          <w:rFonts w:ascii="Arial" w:eastAsia="Arial" w:hAnsi="Arial" w:cs="Arial"/>
          <w:sz w:val="20"/>
          <w:szCs w:val="20"/>
        </w:rPr>
        <w:t>.</w:t>
      </w:r>
    </w:p>
    <w:p w14:paraId="6D59471B" w14:textId="77777777" w:rsidR="00091F87" w:rsidRDefault="00000000" w:rsidP="00091F87">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Certification and compliance</w:t>
      </w:r>
    </w:p>
    <w:p w14:paraId="740DD37F" w14:textId="77777777" w:rsidR="00091F87" w:rsidRDefault="00000000" w:rsidP="00091F87">
      <w:pPr>
        <w:pStyle w:val="ListParagraph"/>
        <w:numPr>
          <w:ilvl w:val="0"/>
          <w:numId w:val="19"/>
        </w:numPr>
        <w:spacing w:line="276" w:lineRule="auto"/>
        <w:jc w:val="both"/>
        <w:rPr>
          <w:rFonts w:ascii="Arial" w:eastAsia="Arial" w:hAnsi="Arial" w:cs="Arial"/>
          <w:sz w:val="20"/>
          <w:szCs w:val="20"/>
        </w:rPr>
      </w:pPr>
      <w:r w:rsidRPr="00091F87">
        <w:rPr>
          <w:rFonts w:ascii="Arial" w:eastAsia="Arial" w:hAnsi="Arial" w:cs="Arial"/>
          <w:sz w:val="20"/>
          <w:szCs w:val="20"/>
        </w:rPr>
        <w:t>all proposed rehabilitation equipment must be officially certified in Ukraine and comply with relevant national regulatory standards;</w:t>
      </w:r>
    </w:p>
    <w:p w14:paraId="01CBB4DE" w14:textId="77777777" w:rsidR="00091F87" w:rsidRDefault="00000000" w:rsidP="00091F87">
      <w:pPr>
        <w:pStyle w:val="ListParagraph"/>
        <w:numPr>
          <w:ilvl w:val="0"/>
          <w:numId w:val="19"/>
        </w:numPr>
        <w:spacing w:line="276" w:lineRule="auto"/>
        <w:jc w:val="both"/>
        <w:rPr>
          <w:rFonts w:ascii="Arial" w:eastAsia="Arial" w:hAnsi="Arial" w:cs="Arial"/>
          <w:sz w:val="20"/>
          <w:szCs w:val="20"/>
        </w:rPr>
      </w:pPr>
      <w:r w:rsidRPr="00091F87">
        <w:rPr>
          <w:rFonts w:ascii="Arial" w:eastAsia="Arial" w:hAnsi="Arial" w:cs="Arial"/>
          <w:sz w:val="20"/>
          <w:szCs w:val="20"/>
        </w:rPr>
        <w:t>copies of all relevant certificates, registrations, manufacturer licenses, and Ukrainian conformity documents must be included in the tender package, when submitting;</w:t>
      </w:r>
    </w:p>
    <w:p w14:paraId="70CB2DF3" w14:textId="45204389" w:rsidR="00FE3651" w:rsidRPr="00091F87" w:rsidRDefault="00000000" w:rsidP="00091F87">
      <w:pPr>
        <w:pStyle w:val="ListParagraph"/>
        <w:numPr>
          <w:ilvl w:val="0"/>
          <w:numId w:val="19"/>
        </w:numPr>
        <w:spacing w:line="276" w:lineRule="auto"/>
        <w:jc w:val="both"/>
        <w:rPr>
          <w:rFonts w:ascii="Arial" w:eastAsia="Arial" w:hAnsi="Arial" w:cs="Arial"/>
          <w:sz w:val="20"/>
          <w:szCs w:val="20"/>
        </w:rPr>
      </w:pPr>
      <w:r w:rsidRPr="00091F87">
        <w:rPr>
          <w:rFonts w:ascii="Arial" w:eastAsia="Arial" w:hAnsi="Arial" w:cs="Arial"/>
          <w:sz w:val="20"/>
          <w:szCs w:val="20"/>
        </w:rPr>
        <w:t>if the medical device is placed on the market in accordance with the requirements of the Technical Regulation on Medical Devices or hold proof of market authorization in countries with a stringent regulatory system (USA, EU member states, Canada, Japan, Australia, Switzerland, Norway, Iceland, Liechtenstein), the bidder shall provide valid documentation demonstrating compliance with the requirement, appropriate to the product’s safety class, including one of the following:</w:t>
      </w:r>
    </w:p>
    <w:p w14:paraId="3DAEAD14" w14:textId="77777777" w:rsidR="00FE3651" w:rsidRDefault="00000000" w:rsidP="00091F87">
      <w:pPr>
        <w:numPr>
          <w:ilvl w:val="0"/>
          <w:numId w:val="11"/>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Declaration of Conformity or Certificate of Conformity; or </w:t>
      </w:r>
    </w:p>
    <w:p w14:paraId="71329E05" w14:textId="77777777" w:rsidR="00FE3651" w:rsidRDefault="00000000" w:rsidP="00091F87">
      <w:pPr>
        <w:numPr>
          <w:ilvl w:val="0"/>
          <w:numId w:val="11"/>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MDR (EU 2017/745) certificate or CE marking for Class I/IIa devices; or </w:t>
      </w:r>
    </w:p>
    <w:p w14:paraId="3DE52A24" w14:textId="77777777" w:rsidR="00FE3651" w:rsidRDefault="00000000" w:rsidP="00091F87">
      <w:pPr>
        <w:numPr>
          <w:ilvl w:val="0"/>
          <w:numId w:val="11"/>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Any other equivalent document recognized by the regulatory authority.</w:t>
      </w:r>
    </w:p>
    <w:p w14:paraId="1B8E7887" w14:textId="151BE1C3" w:rsidR="00E32C7A" w:rsidRDefault="00E32C7A">
      <w:pPr>
        <w:rPr>
          <w:rFonts w:ascii="Arial" w:eastAsia="Arial" w:hAnsi="Arial" w:cs="Arial"/>
          <w:sz w:val="20"/>
          <w:szCs w:val="20"/>
        </w:rPr>
      </w:pPr>
      <w:r>
        <w:rPr>
          <w:rFonts w:ascii="Arial" w:eastAsia="Arial" w:hAnsi="Arial" w:cs="Arial"/>
          <w:sz w:val="20"/>
          <w:szCs w:val="20"/>
        </w:rPr>
        <w:br w:type="page"/>
      </w:r>
    </w:p>
    <w:p w14:paraId="43B29787" w14:textId="77777777" w:rsidR="00FE3651" w:rsidRDefault="00000000">
      <w:pPr>
        <w:spacing w:line="276" w:lineRule="auto"/>
        <w:rPr>
          <w:rFonts w:ascii="Arial" w:eastAsia="Arial" w:hAnsi="Arial" w:cs="Arial"/>
          <w:sz w:val="20"/>
          <w:szCs w:val="20"/>
        </w:rPr>
      </w:pPr>
      <w:r>
        <w:rPr>
          <w:rFonts w:ascii="Arial" w:eastAsia="Arial" w:hAnsi="Arial" w:cs="Arial"/>
          <w:sz w:val="20"/>
          <w:szCs w:val="20"/>
          <w:u w:val="single"/>
        </w:rPr>
        <w:lastRenderedPageBreak/>
        <w:t>Requirements for the Proposal</w:t>
      </w:r>
    </w:p>
    <w:p w14:paraId="356BF0A2" w14:textId="77777777" w:rsidR="00FE3651" w:rsidRDefault="00000000">
      <w:pPr>
        <w:spacing w:line="276" w:lineRule="auto"/>
        <w:rPr>
          <w:rFonts w:ascii="Arial" w:eastAsia="Arial" w:hAnsi="Arial" w:cs="Arial"/>
          <w:sz w:val="20"/>
          <w:szCs w:val="20"/>
        </w:rPr>
      </w:pPr>
      <w:r>
        <w:rPr>
          <w:rFonts w:ascii="Arial" w:eastAsia="Arial" w:hAnsi="Arial" w:cs="Arial"/>
          <w:sz w:val="20"/>
          <w:szCs w:val="20"/>
        </w:rPr>
        <w:t>All proposals submitted by Suppliers must include the following:</w:t>
      </w:r>
    </w:p>
    <w:p w14:paraId="08FB417C" w14:textId="77777777" w:rsidR="00FE3651" w:rsidRDefault="00000000">
      <w:pPr>
        <w:numPr>
          <w:ilvl w:val="0"/>
          <w:numId w:val="4"/>
        </w:numPr>
        <w:spacing w:line="276" w:lineRule="auto"/>
        <w:rPr>
          <w:rFonts w:ascii="Arial" w:eastAsia="Arial" w:hAnsi="Arial" w:cs="Arial"/>
          <w:sz w:val="20"/>
          <w:szCs w:val="20"/>
        </w:rPr>
      </w:pPr>
      <w:r>
        <w:rPr>
          <w:rFonts w:ascii="Arial" w:eastAsia="Arial" w:hAnsi="Arial" w:cs="Arial"/>
          <w:sz w:val="20"/>
          <w:szCs w:val="20"/>
        </w:rPr>
        <w:t>Detailed technical specifications: complete technical specifications for each item, including:</w:t>
      </w:r>
    </w:p>
    <w:p w14:paraId="5D4EC522" w14:textId="77777777" w:rsid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Item description;</w:t>
      </w:r>
    </w:p>
    <w:p w14:paraId="3D344359" w14:textId="77777777" w:rsid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Model and manufacturer;</w:t>
      </w:r>
    </w:p>
    <w:p w14:paraId="502B7CE8" w14:textId="77777777" w:rsid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Country of origin;</w:t>
      </w:r>
    </w:p>
    <w:p w14:paraId="121E247B" w14:textId="77777777" w:rsid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Functional characteristics;</w:t>
      </w:r>
    </w:p>
    <w:p w14:paraId="1232A9D1" w14:textId="77777777" w:rsid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Operating conditions;</w:t>
      </w:r>
    </w:p>
    <w:p w14:paraId="1C6E5A2E" w14:textId="3A3EB1AA" w:rsidR="00FE3651" w:rsidRPr="00091F87" w:rsidRDefault="00000000" w:rsidP="00091F87">
      <w:pPr>
        <w:pStyle w:val="ListParagraph"/>
        <w:numPr>
          <w:ilvl w:val="0"/>
          <w:numId w:val="21"/>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Any additional accessories or components included.</w:t>
      </w:r>
    </w:p>
    <w:p w14:paraId="50864B89" w14:textId="77777777" w:rsidR="00FE365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The product must be new and unused, manufactured no earlier than January 1, 2025 (supporting document – warranty certificate).</w:t>
      </w:r>
    </w:p>
    <w:p w14:paraId="4B0CA2C8" w14:textId="77777777" w:rsidR="00FE365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The product packaging must ensure the preservation of the product’s quality and integrity. The packaging and </w:t>
      </w:r>
      <w:proofErr w:type="spellStart"/>
      <w:r>
        <w:rPr>
          <w:rFonts w:ascii="Arial" w:eastAsia="Arial" w:hAnsi="Arial" w:cs="Arial"/>
          <w:color w:val="000000"/>
          <w:sz w:val="20"/>
          <w:szCs w:val="20"/>
        </w:rPr>
        <w:t>labeling</w:t>
      </w:r>
      <w:proofErr w:type="spellEnd"/>
      <w:r>
        <w:rPr>
          <w:rFonts w:ascii="Arial" w:eastAsia="Arial" w:hAnsi="Arial" w:cs="Arial"/>
          <w:color w:val="000000"/>
          <w:sz w:val="20"/>
          <w:szCs w:val="20"/>
        </w:rPr>
        <w:t xml:space="preserve"> must comply with the requirements of Ukrainian law (supporting document – warranty certificate).</w:t>
      </w:r>
    </w:p>
    <w:p w14:paraId="3ECDAE98" w14:textId="77777777" w:rsidR="00FE365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The Supplier must provide valid certificates and declarations of conformity demonstrating that the offered medical devices comply with relevant international standards, including but not limited to ISO 13485 (Quality Management System for Medical Devices), ISO 14971 (Risk Management for Medical Devices), ISO 20957-6:2021 (Non-Medical Equipment), IEC 60601 (Electrical Safety for Medical Devices, where applicable), IEC 60601-1 (Basic Safety and Essential Performance of Medical Electrical Equipment), IEC 60601-1-2 (Electromagnetic Compatibility), IEC 62366-1 or related IEC 60601-1-6 (Usability and Human Factors for Medical Devices), as applicable to the specific type and intended use of each product, and/or equivalent certifications. Proposals without such documentation will be considered non-compliant. </w:t>
      </w:r>
    </w:p>
    <w:p w14:paraId="73AFD22F" w14:textId="77777777" w:rsidR="00FE3651" w:rsidRDefault="00000000">
      <w:pPr>
        <w:numPr>
          <w:ilvl w:val="0"/>
          <w:numId w:val="4"/>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For medical products only – the </w:t>
      </w:r>
      <w:proofErr w:type="spellStart"/>
      <w:r>
        <w:rPr>
          <w:rFonts w:ascii="Arial" w:eastAsia="Arial" w:hAnsi="Arial" w:cs="Arial"/>
          <w:color w:val="000000"/>
          <w:sz w:val="20"/>
          <w:szCs w:val="20"/>
        </w:rPr>
        <w:t>labeling</w:t>
      </w:r>
      <w:proofErr w:type="spellEnd"/>
      <w:r>
        <w:rPr>
          <w:rFonts w:ascii="Arial" w:eastAsia="Arial" w:hAnsi="Arial" w:cs="Arial"/>
          <w:color w:val="000000"/>
          <w:sz w:val="20"/>
          <w:szCs w:val="20"/>
        </w:rPr>
        <w:t xml:space="preserve"> of medical devices must comply with the requirements of technical regulations (include a conformity mark accompanied by the number of the designated body that issued the certificate; information about the authorized representative of the medical device manufacturer; the name and location of the medical device manufacturer; data necessary to identify the medical device, package contents; if necessary – the batch code (after the word “Batch”), or serial number, </w:t>
      </w:r>
      <w:proofErr w:type="spellStart"/>
      <w:r>
        <w:rPr>
          <w:rFonts w:ascii="Arial" w:eastAsia="Arial" w:hAnsi="Arial" w:cs="Arial"/>
          <w:color w:val="000000"/>
          <w:sz w:val="20"/>
          <w:szCs w:val="20"/>
        </w:rPr>
        <w:t>catalog</w:t>
      </w:r>
      <w:proofErr w:type="spellEnd"/>
      <w:r>
        <w:rPr>
          <w:rFonts w:ascii="Arial" w:eastAsia="Arial" w:hAnsi="Arial" w:cs="Arial"/>
          <w:color w:val="000000"/>
          <w:sz w:val="20"/>
          <w:szCs w:val="20"/>
        </w:rPr>
        <w:t xml:space="preserve"> number, warranty period for safe use of the medical device indicating the year and month, single-use mark, information on any special storage conditions; information on any precautions; date of manufacture for active medical devices (supporting document – photo / label layout).</w:t>
      </w:r>
    </w:p>
    <w:p w14:paraId="3B1F5487" w14:textId="77777777" w:rsidR="00FE3651" w:rsidRDefault="00000000">
      <w:pPr>
        <w:numPr>
          <w:ilvl w:val="0"/>
          <w:numId w:val="4"/>
        </w:numPr>
        <w:spacing w:line="276" w:lineRule="auto"/>
        <w:jc w:val="both"/>
        <w:rPr>
          <w:rFonts w:ascii="Arial" w:eastAsia="Arial" w:hAnsi="Arial" w:cs="Arial"/>
          <w:sz w:val="20"/>
          <w:szCs w:val="20"/>
        </w:rPr>
      </w:pPr>
      <w:r>
        <w:rPr>
          <w:rFonts w:ascii="Arial" w:eastAsia="Arial" w:hAnsi="Arial" w:cs="Arial"/>
          <w:sz w:val="20"/>
          <w:szCs w:val="20"/>
        </w:rPr>
        <w:t>Delivery and installation timeline: the detailed timeline for transportation, installation, configuration, and entry into service of the equipment from the date of Contract signature.</w:t>
      </w:r>
    </w:p>
    <w:p w14:paraId="1BDA8E5F" w14:textId="77777777" w:rsidR="00091F87" w:rsidRDefault="00000000" w:rsidP="00091F87">
      <w:pPr>
        <w:numPr>
          <w:ilvl w:val="0"/>
          <w:numId w:val="4"/>
        </w:numPr>
        <w:spacing w:line="276" w:lineRule="auto"/>
        <w:jc w:val="both"/>
        <w:rPr>
          <w:rFonts w:ascii="Arial" w:eastAsia="Arial" w:hAnsi="Arial" w:cs="Arial"/>
          <w:sz w:val="20"/>
          <w:szCs w:val="20"/>
        </w:rPr>
      </w:pPr>
      <w:r>
        <w:rPr>
          <w:rFonts w:ascii="Arial" w:eastAsia="Arial" w:hAnsi="Arial" w:cs="Arial"/>
          <w:sz w:val="20"/>
          <w:szCs w:val="20"/>
        </w:rPr>
        <w:t>Warranty terms:</w:t>
      </w:r>
    </w:p>
    <w:p w14:paraId="0879D71C" w14:textId="77777777" w:rsidR="00091F87" w:rsidRDefault="00000000" w:rsidP="00091F87">
      <w:pPr>
        <w:pStyle w:val="ListParagraph"/>
        <w:numPr>
          <w:ilvl w:val="0"/>
          <w:numId w:val="22"/>
        </w:numPr>
        <w:spacing w:line="276" w:lineRule="auto"/>
        <w:jc w:val="both"/>
        <w:rPr>
          <w:rFonts w:ascii="Arial" w:eastAsia="Arial" w:hAnsi="Arial" w:cs="Arial"/>
          <w:sz w:val="20"/>
          <w:szCs w:val="20"/>
        </w:rPr>
      </w:pPr>
      <w:r w:rsidRPr="00091F87">
        <w:rPr>
          <w:rFonts w:ascii="Arial" w:eastAsia="Arial" w:hAnsi="Arial" w:cs="Arial"/>
          <w:sz w:val="20"/>
          <w:szCs w:val="20"/>
        </w:rPr>
        <w:t>clear statement of warranty duration for each item;</w:t>
      </w:r>
    </w:p>
    <w:p w14:paraId="6339A5D9" w14:textId="193B06A0" w:rsidR="00FE3651" w:rsidRPr="00091F87" w:rsidRDefault="00000000" w:rsidP="00091F87">
      <w:pPr>
        <w:pStyle w:val="ListParagraph"/>
        <w:numPr>
          <w:ilvl w:val="0"/>
          <w:numId w:val="22"/>
        </w:numPr>
        <w:spacing w:line="276" w:lineRule="auto"/>
        <w:jc w:val="both"/>
        <w:rPr>
          <w:rFonts w:ascii="Arial" w:eastAsia="Arial" w:hAnsi="Arial" w:cs="Arial"/>
          <w:sz w:val="20"/>
          <w:szCs w:val="20"/>
        </w:rPr>
      </w:pPr>
      <w:r w:rsidRPr="00091F87">
        <w:rPr>
          <w:rFonts w:ascii="Arial" w:eastAsia="Arial" w:hAnsi="Arial" w:cs="Arial"/>
          <w:sz w:val="20"/>
          <w:szCs w:val="20"/>
        </w:rPr>
        <w:t>information on maintenance conditions.</w:t>
      </w:r>
    </w:p>
    <w:p w14:paraId="359C652D" w14:textId="77777777" w:rsidR="00FE3651" w:rsidRDefault="00000000">
      <w:pPr>
        <w:numPr>
          <w:ilvl w:val="0"/>
          <w:numId w:val="4"/>
        </w:numPr>
        <w:spacing w:line="276" w:lineRule="auto"/>
        <w:jc w:val="both"/>
        <w:rPr>
          <w:rFonts w:ascii="Arial" w:eastAsia="Arial" w:hAnsi="Arial" w:cs="Arial"/>
          <w:sz w:val="20"/>
          <w:szCs w:val="20"/>
        </w:rPr>
      </w:pPr>
      <w:r>
        <w:rPr>
          <w:rFonts w:ascii="Arial" w:eastAsia="Arial" w:hAnsi="Arial" w:cs="Arial"/>
          <w:sz w:val="20"/>
          <w:szCs w:val="20"/>
        </w:rPr>
        <w:t xml:space="preserve">Service network information: a list of authorized service </w:t>
      </w:r>
      <w:proofErr w:type="spellStart"/>
      <w:r>
        <w:rPr>
          <w:rFonts w:ascii="Arial" w:eastAsia="Arial" w:hAnsi="Arial" w:cs="Arial"/>
          <w:sz w:val="20"/>
          <w:szCs w:val="20"/>
        </w:rPr>
        <w:t>centers</w:t>
      </w:r>
      <w:proofErr w:type="spellEnd"/>
      <w:r>
        <w:rPr>
          <w:rFonts w:ascii="Arial" w:eastAsia="Arial" w:hAnsi="Arial" w:cs="Arial"/>
          <w:sz w:val="20"/>
          <w:szCs w:val="20"/>
        </w:rPr>
        <w:t xml:space="preserve"> available in Ukraine, including contact details.</w:t>
      </w:r>
    </w:p>
    <w:p w14:paraId="4BE2460A" w14:textId="77777777" w:rsidR="00FE3651" w:rsidRDefault="00000000">
      <w:pPr>
        <w:numPr>
          <w:ilvl w:val="0"/>
          <w:numId w:val="4"/>
        </w:numPr>
        <w:spacing w:line="276" w:lineRule="auto"/>
        <w:jc w:val="both"/>
        <w:rPr>
          <w:rFonts w:ascii="Arial" w:eastAsia="Arial" w:hAnsi="Arial" w:cs="Arial"/>
          <w:sz w:val="20"/>
          <w:szCs w:val="20"/>
        </w:rPr>
      </w:pPr>
      <w:r>
        <w:rPr>
          <w:rFonts w:ascii="Arial" w:eastAsia="Arial" w:hAnsi="Arial" w:cs="Arial"/>
          <w:sz w:val="20"/>
          <w:szCs w:val="20"/>
        </w:rPr>
        <w:t>Relevant certifications: copies of all required Ukrainian certifications and manufacturer authorizations.</w:t>
      </w:r>
    </w:p>
    <w:p w14:paraId="42A5CD8B" w14:textId="77777777" w:rsidR="00FE3651" w:rsidRDefault="00000000">
      <w:pPr>
        <w:numPr>
          <w:ilvl w:val="0"/>
          <w:numId w:val="4"/>
        </w:numPr>
        <w:spacing w:line="276" w:lineRule="auto"/>
        <w:jc w:val="both"/>
        <w:rPr>
          <w:rFonts w:ascii="Arial" w:eastAsia="Arial" w:hAnsi="Arial" w:cs="Arial"/>
          <w:sz w:val="20"/>
          <w:szCs w:val="20"/>
        </w:rPr>
      </w:pPr>
      <w:r>
        <w:rPr>
          <w:rFonts w:ascii="Arial" w:eastAsia="Arial" w:hAnsi="Arial" w:cs="Arial"/>
          <w:sz w:val="20"/>
          <w:szCs w:val="20"/>
        </w:rPr>
        <w:t>All supporting documents, certificates, and technical materials must be submitted in Ukrainian and / or English. If issued in another language, certified translations must be provided.</w:t>
      </w:r>
    </w:p>
    <w:p w14:paraId="6DCB1427" w14:textId="77777777" w:rsidR="00FE3651" w:rsidRDefault="00FE3651">
      <w:pPr>
        <w:spacing w:line="276" w:lineRule="auto"/>
        <w:rPr>
          <w:rFonts w:ascii="Arial" w:eastAsia="Arial" w:hAnsi="Arial" w:cs="Arial"/>
          <w:sz w:val="20"/>
          <w:szCs w:val="20"/>
        </w:rPr>
      </w:pPr>
    </w:p>
    <w:p w14:paraId="22D10106"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Coordination</w:t>
      </w:r>
    </w:p>
    <w:p w14:paraId="4721098A" w14:textId="77777777" w:rsidR="00FE3651" w:rsidRDefault="00FE3651">
      <w:pPr>
        <w:spacing w:line="276" w:lineRule="auto"/>
        <w:rPr>
          <w:rFonts w:ascii="Arial" w:eastAsia="Arial" w:hAnsi="Arial" w:cs="Arial"/>
          <w:sz w:val="20"/>
          <w:szCs w:val="20"/>
          <w:highlight w:val="cyan"/>
        </w:rPr>
      </w:pPr>
    </w:p>
    <w:p w14:paraId="5977BC1D" w14:textId="375DFD68" w:rsidR="00FE3651" w:rsidRDefault="00000000">
      <w:pPr>
        <w:spacing w:after="240" w:line="276" w:lineRule="auto"/>
        <w:jc w:val="both"/>
        <w:rPr>
          <w:rFonts w:ascii="Arial" w:eastAsia="Arial" w:hAnsi="Arial" w:cs="Arial"/>
          <w:sz w:val="20"/>
          <w:szCs w:val="20"/>
        </w:rPr>
      </w:pPr>
      <w:r>
        <w:rPr>
          <w:rFonts w:ascii="Arial" w:eastAsia="Arial" w:hAnsi="Arial" w:cs="Arial"/>
          <w:sz w:val="20"/>
          <w:szCs w:val="20"/>
        </w:rPr>
        <w:t xml:space="preserve">The assignment is expected to be completed by </w:t>
      </w:r>
      <w:r w:rsidR="007E0790">
        <w:rPr>
          <w:rFonts w:ascii="Arial" w:eastAsia="Arial" w:hAnsi="Arial" w:cs="Arial"/>
          <w:sz w:val="20"/>
          <w:szCs w:val="20"/>
        </w:rPr>
        <w:t>3</w:t>
      </w:r>
      <w:r w:rsidR="00091F87">
        <w:rPr>
          <w:rFonts w:ascii="Arial" w:eastAsia="Arial" w:hAnsi="Arial" w:cs="Arial"/>
          <w:sz w:val="20"/>
          <w:szCs w:val="20"/>
        </w:rPr>
        <w:t>0</w:t>
      </w:r>
      <w:r>
        <w:rPr>
          <w:rFonts w:ascii="Arial" w:eastAsia="Arial" w:hAnsi="Arial" w:cs="Arial"/>
          <w:sz w:val="20"/>
          <w:szCs w:val="20"/>
        </w:rPr>
        <w:t xml:space="preserve"> </w:t>
      </w:r>
      <w:proofErr w:type="gramStart"/>
      <w:r w:rsidR="00091F87">
        <w:rPr>
          <w:rFonts w:ascii="Arial" w:eastAsia="Arial" w:hAnsi="Arial" w:cs="Arial"/>
          <w:sz w:val="20"/>
          <w:szCs w:val="20"/>
        </w:rPr>
        <w:t>November</w:t>
      </w:r>
      <w:r>
        <w:rPr>
          <w:rFonts w:ascii="Arial" w:eastAsia="Arial" w:hAnsi="Arial" w:cs="Arial"/>
          <w:sz w:val="20"/>
          <w:szCs w:val="20"/>
        </w:rPr>
        <w:t>,</w:t>
      </w:r>
      <w:proofErr w:type="gramEnd"/>
      <w:r>
        <w:rPr>
          <w:rFonts w:ascii="Arial" w:eastAsia="Arial" w:hAnsi="Arial" w:cs="Arial"/>
          <w:sz w:val="20"/>
          <w:szCs w:val="20"/>
        </w:rPr>
        <w:t xml:space="preserve"> 2026. All activities and implementation details must be coordinated and confirmed in advance with the designated focal point at Expertise France.</w:t>
      </w:r>
    </w:p>
    <w:p w14:paraId="61787B3A" w14:textId="4817EA4C" w:rsidR="00FE3651" w:rsidRDefault="00000000">
      <w:pPr>
        <w:spacing w:line="276" w:lineRule="auto"/>
        <w:jc w:val="both"/>
        <w:rPr>
          <w:rFonts w:ascii="Arial" w:eastAsia="Arial" w:hAnsi="Arial" w:cs="Arial"/>
          <w:sz w:val="20"/>
          <w:szCs w:val="20"/>
        </w:rPr>
      </w:pPr>
      <w:r>
        <w:rPr>
          <w:rFonts w:ascii="Arial" w:eastAsia="Arial" w:hAnsi="Arial" w:cs="Arial"/>
          <w:sz w:val="20"/>
          <w:szCs w:val="20"/>
        </w:rPr>
        <w:lastRenderedPageBreak/>
        <w:t>In addition to the contact person specified in the Agreement for contractual, financial, and administrative matters, close operational coordination must be established and maintained from the outset and throughout the duration of the Contract with the designated operational contact person:</w:t>
      </w:r>
      <w:r w:rsidR="00CE674B">
        <w:rPr>
          <w:rFonts w:ascii="Arial" w:eastAsia="Arial" w:hAnsi="Arial" w:cs="Arial"/>
          <w:sz w:val="20"/>
          <w:szCs w:val="20"/>
        </w:rPr>
        <w:t xml:space="preserve"> </w:t>
      </w:r>
      <w:r w:rsidR="00CE674B" w:rsidRPr="00CE674B">
        <w:rPr>
          <w:rFonts w:ascii="Arial" w:eastAsia="Arial" w:hAnsi="Arial" w:cs="Arial"/>
          <w:sz w:val="20"/>
          <w:szCs w:val="20"/>
        </w:rPr>
        <w:t xml:space="preserve">Maryna </w:t>
      </w:r>
      <w:proofErr w:type="spellStart"/>
      <w:r w:rsidR="00CE674B" w:rsidRPr="00CE674B">
        <w:rPr>
          <w:rFonts w:ascii="Arial" w:eastAsia="Arial" w:hAnsi="Arial" w:cs="Arial"/>
          <w:sz w:val="20"/>
          <w:szCs w:val="20"/>
        </w:rPr>
        <w:t>Vyshnevska</w:t>
      </w:r>
      <w:proofErr w:type="spellEnd"/>
      <w:r w:rsidR="00CE674B" w:rsidRPr="00CE674B">
        <w:rPr>
          <w:rFonts w:ascii="Arial" w:eastAsia="Arial" w:hAnsi="Arial" w:cs="Arial"/>
          <w:sz w:val="20"/>
          <w:szCs w:val="20"/>
        </w:rPr>
        <w:t xml:space="preserve">; </w:t>
      </w:r>
      <w:hyperlink r:id="rId8" w:history="1">
        <w:r w:rsidR="00CE674B" w:rsidRPr="00F61814">
          <w:rPr>
            <w:rStyle w:val="Hyperlink"/>
            <w:rFonts w:ascii="Arial" w:eastAsia="Arial" w:hAnsi="Arial" w:cs="Arial"/>
            <w:sz w:val="20"/>
            <w:szCs w:val="20"/>
          </w:rPr>
          <w:t>maryna.vyshnevska@expertisefrance.fr</w:t>
        </w:r>
      </w:hyperlink>
      <w:r w:rsidR="00CE674B">
        <w:rPr>
          <w:rFonts w:ascii="Arial" w:eastAsia="Arial" w:hAnsi="Arial" w:cs="Arial"/>
          <w:sz w:val="20"/>
          <w:szCs w:val="20"/>
        </w:rPr>
        <w:t xml:space="preserve">. </w:t>
      </w:r>
    </w:p>
    <w:p w14:paraId="661C3FFA" w14:textId="77777777" w:rsidR="00FE3651" w:rsidRDefault="00FE3651">
      <w:pPr>
        <w:spacing w:line="276" w:lineRule="auto"/>
        <w:rPr>
          <w:rFonts w:ascii="Arial" w:eastAsia="Arial" w:hAnsi="Arial" w:cs="Arial"/>
          <w:sz w:val="20"/>
          <w:szCs w:val="20"/>
        </w:rPr>
      </w:pPr>
    </w:p>
    <w:p w14:paraId="64CF46D7"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Place, duration and terms of performance</w:t>
      </w:r>
    </w:p>
    <w:p w14:paraId="7EDD8AF5" w14:textId="77777777" w:rsidR="00FE3651" w:rsidRDefault="00FE3651">
      <w:pPr>
        <w:spacing w:line="276" w:lineRule="auto"/>
        <w:rPr>
          <w:rFonts w:ascii="Arial" w:eastAsia="Arial" w:hAnsi="Arial" w:cs="Arial"/>
          <w:sz w:val="20"/>
          <w:szCs w:val="20"/>
        </w:rPr>
      </w:pPr>
    </w:p>
    <w:p w14:paraId="1428C594" w14:textId="77777777" w:rsidR="00FE3651" w:rsidRDefault="00000000">
      <w:pPr>
        <w:spacing w:line="276" w:lineRule="auto"/>
        <w:rPr>
          <w:rFonts w:ascii="Arial" w:eastAsia="Arial" w:hAnsi="Arial" w:cs="Arial"/>
          <w:sz w:val="20"/>
          <w:szCs w:val="20"/>
        </w:rPr>
      </w:pPr>
      <w:r>
        <w:rPr>
          <w:rFonts w:ascii="Arial" w:eastAsia="Arial" w:hAnsi="Arial" w:cs="Arial"/>
          <w:sz w:val="20"/>
          <w:szCs w:val="20"/>
        </w:rPr>
        <w:t xml:space="preserve">Place: </w:t>
      </w:r>
      <w:r>
        <w:rPr>
          <w:rFonts w:ascii="Arial" w:eastAsia="Arial" w:hAnsi="Arial" w:cs="Arial"/>
          <w:sz w:val="20"/>
          <w:szCs w:val="20"/>
        </w:rPr>
        <w:tab/>
      </w:r>
      <w:r>
        <w:rPr>
          <w:rFonts w:ascii="Arial" w:eastAsia="Arial" w:hAnsi="Arial" w:cs="Arial"/>
          <w:sz w:val="20"/>
          <w:szCs w:val="20"/>
        </w:rPr>
        <w:tab/>
        <w:t>Ukraine;</w:t>
      </w:r>
    </w:p>
    <w:p w14:paraId="7B3079E1" w14:textId="58843E9F" w:rsidR="00FE3651" w:rsidRDefault="00000000">
      <w:pPr>
        <w:spacing w:line="276" w:lineRule="auto"/>
        <w:rPr>
          <w:rFonts w:ascii="Arial" w:eastAsia="Arial" w:hAnsi="Arial" w:cs="Arial"/>
          <w:sz w:val="20"/>
          <w:szCs w:val="20"/>
        </w:rPr>
      </w:pPr>
      <w:r>
        <w:rPr>
          <w:rFonts w:ascii="Arial" w:eastAsia="Arial" w:hAnsi="Arial" w:cs="Arial"/>
          <w:sz w:val="20"/>
          <w:szCs w:val="20"/>
        </w:rPr>
        <w:t>Start date:</w:t>
      </w:r>
      <w:r>
        <w:rPr>
          <w:rFonts w:ascii="Arial" w:eastAsia="Arial" w:hAnsi="Arial" w:cs="Arial"/>
          <w:sz w:val="20"/>
          <w:szCs w:val="20"/>
        </w:rPr>
        <w:tab/>
      </w:r>
      <w:r w:rsidR="00CE674B">
        <w:rPr>
          <w:rFonts w:ascii="Arial" w:eastAsia="Arial" w:hAnsi="Arial" w:cs="Arial"/>
          <w:sz w:val="20"/>
          <w:szCs w:val="20"/>
        </w:rPr>
        <w:t xml:space="preserve">October </w:t>
      </w:r>
      <w:r>
        <w:rPr>
          <w:rFonts w:ascii="Arial" w:eastAsia="Arial" w:hAnsi="Arial" w:cs="Arial"/>
          <w:sz w:val="20"/>
          <w:szCs w:val="20"/>
        </w:rPr>
        <w:t>2026;</w:t>
      </w:r>
    </w:p>
    <w:p w14:paraId="0DC0B902" w14:textId="5148B85E" w:rsidR="00FE3651" w:rsidRDefault="00000000">
      <w:pPr>
        <w:spacing w:line="276" w:lineRule="auto"/>
        <w:rPr>
          <w:rFonts w:ascii="Arial" w:eastAsia="Arial" w:hAnsi="Arial" w:cs="Arial"/>
          <w:sz w:val="20"/>
          <w:szCs w:val="20"/>
        </w:rPr>
      </w:pPr>
      <w:r>
        <w:rPr>
          <w:rFonts w:ascii="Arial" w:eastAsia="Arial" w:hAnsi="Arial" w:cs="Arial"/>
          <w:sz w:val="20"/>
          <w:szCs w:val="20"/>
        </w:rPr>
        <w:t>End date:</w:t>
      </w:r>
      <w:r>
        <w:rPr>
          <w:rFonts w:ascii="Arial" w:eastAsia="Arial" w:hAnsi="Arial" w:cs="Arial"/>
          <w:sz w:val="20"/>
          <w:szCs w:val="20"/>
        </w:rPr>
        <w:tab/>
      </w:r>
      <w:r w:rsidR="00CE674B">
        <w:rPr>
          <w:rFonts w:ascii="Arial" w:eastAsia="Arial" w:hAnsi="Arial" w:cs="Arial"/>
          <w:sz w:val="20"/>
          <w:szCs w:val="20"/>
        </w:rPr>
        <w:t xml:space="preserve">30 </w:t>
      </w:r>
      <w:r w:rsidR="00091F87" w:rsidRPr="00091F87">
        <w:rPr>
          <w:rFonts w:ascii="Arial" w:eastAsia="Arial" w:hAnsi="Arial" w:cs="Arial"/>
          <w:sz w:val="20"/>
          <w:szCs w:val="20"/>
        </w:rPr>
        <w:t>November</w:t>
      </w:r>
      <w:r>
        <w:rPr>
          <w:rFonts w:ascii="Arial" w:eastAsia="Arial" w:hAnsi="Arial" w:cs="Arial"/>
          <w:sz w:val="20"/>
          <w:szCs w:val="20"/>
        </w:rPr>
        <w:t xml:space="preserve"> 2026;</w:t>
      </w:r>
    </w:p>
    <w:p w14:paraId="35863667" w14:textId="77777777" w:rsidR="00FE3651" w:rsidRDefault="00000000">
      <w:pPr>
        <w:spacing w:line="276" w:lineRule="auto"/>
        <w:rPr>
          <w:rFonts w:ascii="Arial" w:eastAsia="Arial" w:hAnsi="Arial" w:cs="Arial"/>
          <w:sz w:val="20"/>
          <w:szCs w:val="20"/>
        </w:rPr>
      </w:pPr>
      <w:r>
        <w:rPr>
          <w:rFonts w:ascii="Arial" w:eastAsia="Arial" w:hAnsi="Arial" w:cs="Arial"/>
          <w:sz w:val="20"/>
          <w:szCs w:val="20"/>
        </w:rPr>
        <w:t>Delivery terms:</w:t>
      </w:r>
      <w:r>
        <w:rPr>
          <w:rFonts w:ascii="Arial" w:eastAsia="Arial" w:hAnsi="Arial" w:cs="Arial"/>
          <w:sz w:val="20"/>
          <w:szCs w:val="20"/>
        </w:rPr>
        <w:tab/>
        <w:t>DDP.</w:t>
      </w:r>
    </w:p>
    <w:p w14:paraId="78E1DB7D" w14:textId="77777777" w:rsidR="00FE3651" w:rsidRDefault="00FE3651">
      <w:pPr>
        <w:spacing w:line="276" w:lineRule="auto"/>
        <w:jc w:val="both"/>
        <w:rPr>
          <w:rFonts w:ascii="Arial" w:eastAsia="Arial" w:hAnsi="Arial" w:cs="Arial"/>
          <w:sz w:val="20"/>
          <w:szCs w:val="20"/>
        </w:rPr>
      </w:pPr>
    </w:p>
    <w:p w14:paraId="0BAE54F5"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Eligibility, evaluation and selection criteria</w:t>
      </w:r>
    </w:p>
    <w:p w14:paraId="39FDE8F0" w14:textId="77777777" w:rsidR="00FE3651" w:rsidRDefault="00FE3651">
      <w:pPr>
        <w:spacing w:line="276" w:lineRule="auto"/>
        <w:jc w:val="both"/>
        <w:rPr>
          <w:rFonts w:ascii="Arial" w:eastAsia="Arial" w:hAnsi="Arial" w:cs="Arial"/>
          <w:sz w:val="20"/>
          <w:szCs w:val="20"/>
        </w:rPr>
      </w:pPr>
    </w:p>
    <w:p w14:paraId="5CDDFFED" w14:textId="77777777" w:rsidR="00FE3651" w:rsidRDefault="00000000">
      <w:pPr>
        <w:spacing w:line="276" w:lineRule="auto"/>
        <w:jc w:val="both"/>
        <w:rPr>
          <w:rFonts w:ascii="Arial" w:eastAsia="Arial" w:hAnsi="Arial" w:cs="Arial"/>
          <w:sz w:val="20"/>
          <w:szCs w:val="20"/>
        </w:rPr>
      </w:pPr>
      <w:r>
        <w:rPr>
          <w:rFonts w:ascii="Arial" w:eastAsia="Arial" w:hAnsi="Arial" w:cs="Arial"/>
          <w:sz w:val="20"/>
          <w:szCs w:val="20"/>
        </w:rPr>
        <w:t>This call is open for LLC companies registered as a legal entity in Ukraine or LLC international companies having official division(s) in Ukraine as well as Private Entrepreneur (FOP) persons, able to provide required services.</w:t>
      </w:r>
    </w:p>
    <w:p w14:paraId="4BAFFE8A" w14:textId="77777777" w:rsidR="00FE3651" w:rsidRDefault="00FE3651">
      <w:pPr>
        <w:spacing w:line="276" w:lineRule="auto"/>
        <w:jc w:val="both"/>
        <w:rPr>
          <w:rFonts w:ascii="Arial" w:eastAsia="Arial" w:hAnsi="Arial" w:cs="Arial"/>
          <w:sz w:val="20"/>
          <w:szCs w:val="20"/>
        </w:rPr>
      </w:pPr>
    </w:p>
    <w:p w14:paraId="39C4CD00" w14:textId="77777777" w:rsidR="00FE3651" w:rsidRDefault="00000000">
      <w:pPr>
        <w:spacing w:line="276" w:lineRule="auto"/>
        <w:jc w:val="both"/>
        <w:rPr>
          <w:rFonts w:ascii="Arial" w:eastAsia="Arial" w:hAnsi="Arial" w:cs="Arial"/>
          <w:sz w:val="20"/>
          <w:szCs w:val="20"/>
        </w:rPr>
      </w:pPr>
      <w:r>
        <w:rPr>
          <w:rFonts w:ascii="Arial" w:eastAsia="Arial" w:hAnsi="Arial" w:cs="Arial"/>
          <w:sz w:val="20"/>
          <w:szCs w:val="20"/>
        </w:rPr>
        <w:t>A procurement committee will evaluate all received proposals based on the specified criteria:</w:t>
      </w:r>
    </w:p>
    <w:p w14:paraId="4DF93CCF" w14:textId="77777777" w:rsidR="00FE3651" w:rsidRDefault="00000000">
      <w:pPr>
        <w:numPr>
          <w:ilvl w:val="0"/>
          <w:numId w:val="1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Financial Offer – </w:t>
      </w:r>
      <w:r>
        <w:rPr>
          <w:rFonts w:ascii="Arial" w:eastAsia="Arial" w:hAnsi="Arial" w:cs="Arial"/>
          <w:b/>
          <w:bCs/>
          <w:color w:val="000000"/>
          <w:sz w:val="20"/>
          <w:szCs w:val="20"/>
        </w:rPr>
        <w:t>40</w:t>
      </w:r>
      <w:r>
        <w:rPr>
          <w:rFonts w:ascii="Arial" w:eastAsia="Arial" w:hAnsi="Arial" w:cs="Arial"/>
          <w:color w:val="000000"/>
          <w:sz w:val="20"/>
          <w:szCs w:val="20"/>
        </w:rPr>
        <w:t>%</w:t>
      </w:r>
    </w:p>
    <w:p w14:paraId="68D3DEBA" w14:textId="77777777" w:rsidR="00091F87" w:rsidRDefault="00000000" w:rsidP="007011C1">
      <w:pPr>
        <w:numPr>
          <w:ilvl w:val="0"/>
          <w:numId w:val="12"/>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 xml:space="preserve">Compliance with Technical Specifications – </w:t>
      </w:r>
      <w:r>
        <w:rPr>
          <w:rFonts w:ascii="Arial" w:eastAsia="Arial" w:hAnsi="Arial" w:cs="Arial"/>
          <w:b/>
          <w:bCs/>
          <w:color w:val="000000"/>
          <w:sz w:val="20"/>
          <w:szCs w:val="20"/>
        </w:rPr>
        <w:t>40</w:t>
      </w:r>
      <w:r>
        <w:rPr>
          <w:rFonts w:ascii="Arial" w:eastAsia="Arial" w:hAnsi="Arial" w:cs="Arial"/>
          <w:color w:val="000000"/>
          <w:sz w:val="20"/>
          <w:szCs w:val="20"/>
        </w:rPr>
        <w:t>%</w:t>
      </w:r>
    </w:p>
    <w:p w14:paraId="54C5E11A" w14:textId="77777777" w:rsid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Assessment of how well the proposed equipment meets the required functional and technical specifications;</w:t>
      </w:r>
    </w:p>
    <w:p w14:paraId="4F8F1349" w14:textId="77777777" w:rsid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Expected lifespan, quality of materials, and suitability for intensive clinical use (if applicable);</w:t>
      </w:r>
    </w:p>
    <w:p w14:paraId="0EFC35F1" w14:textId="77777777" w:rsid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Safety standards and certifications as (if applicable);</w:t>
      </w:r>
    </w:p>
    <w:p w14:paraId="276F3885" w14:textId="77777777" w:rsid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Compliance with applicable medical device safety standards and certifications;</w:t>
      </w:r>
    </w:p>
    <w:p w14:paraId="1036FD8B" w14:textId="77777777" w:rsid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Warranty, and after-sales service and maintenance support;</w:t>
      </w:r>
    </w:p>
    <w:p w14:paraId="6066A1F6" w14:textId="20E51A84" w:rsidR="00FE3651" w:rsidRPr="00091F87" w:rsidRDefault="00000000" w:rsidP="007011C1">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091F87">
        <w:rPr>
          <w:rFonts w:ascii="Arial" w:eastAsia="Arial" w:hAnsi="Arial" w:cs="Arial"/>
          <w:color w:val="000000"/>
          <w:sz w:val="20"/>
          <w:szCs w:val="20"/>
        </w:rPr>
        <w:t>Provided Declaration of Conformity / Certificate of Conformity / MDR (EU 2017/745) certificate / CE marking for Class I/IIa devices / any other equivalent document recognized by the regulatory authority (if relevant).</w:t>
      </w:r>
    </w:p>
    <w:p w14:paraId="5C604B22" w14:textId="77777777" w:rsidR="00FE3651" w:rsidRDefault="00000000" w:rsidP="007011C1">
      <w:pPr>
        <w:numPr>
          <w:ilvl w:val="0"/>
          <w:numId w:val="9"/>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 xml:space="preserve">Delivery and Timeline – </w:t>
      </w:r>
      <w:r>
        <w:rPr>
          <w:rFonts w:ascii="Arial" w:eastAsia="Arial" w:hAnsi="Arial" w:cs="Arial"/>
          <w:b/>
          <w:bCs/>
          <w:color w:val="000000"/>
          <w:sz w:val="20"/>
          <w:szCs w:val="20"/>
        </w:rPr>
        <w:t>20</w:t>
      </w:r>
      <w:r>
        <w:rPr>
          <w:rFonts w:ascii="Arial" w:eastAsia="Arial" w:hAnsi="Arial" w:cs="Arial"/>
          <w:color w:val="000000"/>
          <w:sz w:val="20"/>
          <w:szCs w:val="20"/>
        </w:rPr>
        <w:t>%</w:t>
      </w:r>
    </w:p>
    <w:p w14:paraId="752F3F59" w14:textId="77777777" w:rsidR="00FE3651" w:rsidRDefault="00000000" w:rsidP="007011C1">
      <w:pPr>
        <w:pBdr>
          <w:top w:val="nil"/>
          <w:left w:val="nil"/>
          <w:bottom w:val="nil"/>
          <w:right w:val="nil"/>
          <w:between w:val="nil"/>
        </w:pBdr>
        <w:spacing w:line="276" w:lineRule="auto"/>
        <w:ind w:left="720"/>
        <w:rPr>
          <w:rFonts w:ascii="Arial" w:eastAsia="Arial" w:hAnsi="Arial" w:cs="Arial"/>
          <w:color w:val="000000"/>
          <w:sz w:val="20"/>
          <w:szCs w:val="20"/>
        </w:rPr>
      </w:pPr>
      <w:r>
        <w:rPr>
          <w:rFonts w:ascii="Arial" w:eastAsia="Arial" w:hAnsi="Arial" w:cs="Arial"/>
          <w:color w:val="000000"/>
          <w:sz w:val="20"/>
          <w:szCs w:val="20"/>
        </w:rPr>
        <w:t>Delivery timeline including installation and trainings (as required). Evaluated based on the provided detailed timeline.</w:t>
      </w:r>
    </w:p>
    <w:p w14:paraId="309E3E08" w14:textId="77777777" w:rsidR="00FE3651" w:rsidRDefault="00FE3651">
      <w:pPr>
        <w:spacing w:line="276" w:lineRule="auto"/>
        <w:jc w:val="both"/>
        <w:rPr>
          <w:rFonts w:ascii="Arial" w:eastAsia="Arial" w:hAnsi="Arial" w:cs="Arial"/>
          <w:sz w:val="20"/>
          <w:szCs w:val="20"/>
        </w:rPr>
      </w:pPr>
    </w:p>
    <w:p w14:paraId="41BE86C2" w14:textId="77777777" w:rsidR="00FE3651" w:rsidRDefault="00000000">
      <w:pPr>
        <w:spacing w:line="276" w:lineRule="auto"/>
        <w:jc w:val="both"/>
        <w:rPr>
          <w:rFonts w:ascii="Arial" w:eastAsia="Arial" w:hAnsi="Arial" w:cs="Arial"/>
          <w:sz w:val="20"/>
          <w:szCs w:val="20"/>
        </w:rPr>
      </w:pPr>
      <w:r>
        <w:rPr>
          <w:rFonts w:ascii="Arial" w:eastAsia="Arial" w:hAnsi="Arial" w:cs="Arial"/>
          <w:sz w:val="20"/>
          <w:szCs w:val="20"/>
        </w:rPr>
        <w:t>The selected Service Provider will be notified promptly after the evaluation process is completed.</w:t>
      </w:r>
    </w:p>
    <w:p w14:paraId="45448FC0" w14:textId="77777777" w:rsidR="00FE3651" w:rsidRDefault="00FE3651">
      <w:pPr>
        <w:spacing w:line="276" w:lineRule="auto"/>
        <w:jc w:val="both"/>
        <w:rPr>
          <w:rFonts w:ascii="Arial" w:eastAsia="Arial" w:hAnsi="Arial" w:cs="Arial"/>
          <w:sz w:val="20"/>
          <w:szCs w:val="20"/>
        </w:rPr>
      </w:pPr>
    </w:p>
    <w:p w14:paraId="724B9954" w14:textId="77777777" w:rsidR="00FE3651" w:rsidRDefault="00000000">
      <w:pPr>
        <w:numPr>
          <w:ilvl w:val="0"/>
          <w:numId w:val="1"/>
        </w:numPr>
        <w:shd w:val="clear" w:color="auto" w:fill="E6E6E6"/>
        <w:spacing w:line="276" w:lineRule="auto"/>
        <w:ind w:left="180"/>
        <w:rPr>
          <w:rFonts w:ascii="Arial" w:eastAsia="Arial" w:hAnsi="Arial" w:cs="Arial"/>
          <w:b/>
          <w:bCs/>
          <w:sz w:val="20"/>
          <w:szCs w:val="20"/>
        </w:rPr>
      </w:pPr>
      <w:r>
        <w:rPr>
          <w:rFonts w:ascii="Arial" w:eastAsia="Arial" w:hAnsi="Arial" w:cs="Arial"/>
          <w:b/>
          <w:bCs/>
          <w:sz w:val="20"/>
          <w:szCs w:val="20"/>
        </w:rPr>
        <w:t>Payment terms</w:t>
      </w:r>
    </w:p>
    <w:p w14:paraId="594630E3" w14:textId="77777777" w:rsidR="00FE3651" w:rsidRDefault="00000000">
      <w:pPr>
        <w:spacing w:before="240" w:line="276" w:lineRule="auto"/>
        <w:jc w:val="both"/>
        <w:rPr>
          <w:rFonts w:ascii="Arial" w:eastAsia="Arial" w:hAnsi="Arial" w:cs="Arial"/>
          <w:sz w:val="20"/>
          <w:szCs w:val="20"/>
        </w:rPr>
      </w:pPr>
      <w:r>
        <w:rPr>
          <w:rFonts w:ascii="Arial" w:eastAsia="Arial" w:hAnsi="Arial" w:cs="Arial"/>
          <w:sz w:val="20"/>
          <w:szCs w:val="20"/>
        </w:rPr>
        <w:t>Payment terms:</w:t>
      </w:r>
    </w:p>
    <w:p w14:paraId="73F941D2" w14:textId="77777777" w:rsidR="00091F87" w:rsidRDefault="00000000" w:rsidP="00091F87">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t>The price of the goods must include: delivery of the equipment to the purchasers; where applicable: installation, commissioning of the equipment, and training of the Customer’s specialists (supporting document – letter of guarantee).</w:t>
      </w:r>
    </w:p>
    <w:p w14:paraId="6CC8E4BC" w14:textId="77777777" w:rsidR="00091F87" w:rsidRDefault="00000000" w:rsidP="00091F87">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t>The cost of the goods is fixed based on the National Bank of Ukraine (NBU) exchange rate (Euro to Hryvnia) as of the date of the price proposal submission. Should the national currency exchange rate fluctuate by more than 2% by the date of signing the specification, or by the date of delivery of goods, works, or services, the cost shall be recalculated in accordance with the NBU exchange rate (Euro to Hryvnia) as of the date of signing the Contract, the specification, the delivery note, or the acceptance certificate.</w:t>
      </w:r>
    </w:p>
    <w:p w14:paraId="523F701A" w14:textId="77777777" w:rsidR="00091F87" w:rsidRDefault="00000000" w:rsidP="00CE674B">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lastRenderedPageBreak/>
        <w:t>The amounts of such payment may not exceed the value of the services, supplies or works performed by the Contractor and validated by Expertise France.</w:t>
      </w:r>
    </w:p>
    <w:p w14:paraId="287843A8" w14:textId="152568C8" w:rsidR="00CE674B" w:rsidRDefault="00000000" w:rsidP="00CE674B">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091F87">
        <w:rPr>
          <w:rFonts w:ascii="Arial" w:eastAsia="Arial" w:hAnsi="Arial" w:cs="Arial"/>
          <w:color w:val="000000"/>
          <w:sz w:val="20"/>
          <w:szCs w:val="20"/>
        </w:rPr>
        <w:t>All payment terms will be defined in the Contract in accordance with donor regulations and Ukrainian law.</w:t>
      </w:r>
      <w:r w:rsidR="00CE674B">
        <w:rPr>
          <w:rFonts w:ascii="Arial" w:eastAsia="Arial" w:hAnsi="Arial" w:cs="Arial"/>
          <w:color w:val="000000"/>
          <w:sz w:val="20"/>
          <w:szCs w:val="20"/>
        </w:rPr>
        <w:t xml:space="preserve"> </w:t>
      </w:r>
    </w:p>
    <w:p w14:paraId="41E5EED2" w14:textId="12B99AEE" w:rsidR="00CE674B" w:rsidRPr="00504477" w:rsidRDefault="00CE674B" w:rsidP="00CE674B">
      <w:pPr>
        <w:pStyle w:val="ListParagraph"/>
        <w:numPr>
          <w:ilvl w:val="0"/>
          <w:numId w:val="24"/>
        </w:numPr>
        <w:spacing w:after="240" w:line="276" w:lineRule="auto"/>
        <w:jc w:val="both"/>
        <w:rPr>
          <w:rFonts w:ascii="Arial" w:hAnsi="Arial" w:cs="Arial"/>
          <w:sz w:val="20"/>
          <w:szCs w:val="20"/>
          <w:lang w:val="en-US"/>
        </w:rPr>
      </w:pPr>
      <w:r w:rsidRPr="000F7E49">
        <w:rPr>
          <w:rFonts w:ascii="Arial" w:hAnsi="Arial" w:cs="Arial"/>
          <w:sz w:val="20"/>
          <w:szCs w:val="20"/>
        </w:rPr>
        <w:t>The financial proposal must clearly reflect all costs necessary to implement the proposed contract, including all applicable taxes required for supplying the requested goods. The anticipated award will be all-inclusive. No profit, fees, taxes, or additional costs can be added after the award.</w:t>
      </w:r>
    </w:p>
    <w:p w14:paraId="7B60EEFB" w14:textId="1B4512FB" w:rsidR="00FE3651" w:rsidRPr="00091F87" w:rsidRDefault="00FE3651" w:rsidP="006222B7">
      <w:pPr>
        <w:rPr>
          <w:rFonts w:eastAsia="Arial"/>
        </w:rPr>
      </w:pPr>
    </w:p>
    <w:sectPr w:rsidR="00FE3651" w:rsidRPr="00091F87">
      <w:headerReference w:type="even" r:id="rId9"/>
      <w:headerReference w:type="default" r:id="rId10"/>
      <w:footerReference w:type="even" r:id="rId11"/>
      <w:footerReference w:type="default" r:id="rId12"/>
      <w:headerReference w:type="first" r:id="rId13"/>
      <w:footerReference w:type="first" r:id="rId14"/>
      <w:pgSz w:w="11906" w:h="16838"/>
      <w:pgMar w:top="1977" w:right="1417" w:bottom="1417" w:left="1417" w:header="708" w:footer="48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E85E8" w14:textId="77777777" w:rsidR="00C4317C" w:rsidRDefault="00C4317C">
      <w:r>
        <w:separator/>
      </w:r>
    </w:p>
  </w:endnote>
  <w:endnote w:type="continuationSeparator" w:id="0">
    <w:p w14:paraId="5B23AF8D" w14:textId="77777777" w:rsidR="00C4317C" w:rsidRDefault="00C43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374FD822-17F2-4CA0-BD2F-6AA4AB6BEAC4}"/>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2939D732-0454-4B3F-B9FC-29DF34A5B079}"/>
    <w:embedBold r:id="rId3" w:fontKey="{EA4A547B-8DEB-4A69-B8B4-87F52BA68769}"/>
  </w:font>
  <w:font w:name="Cambria">
    <w:panose1 w:val="02040503050406030204"/>
    <w:charset w:val="CC"/>
    <w:family w:val="roman"/>
    <w:pitch w:val="variable"/>
    <w:sig w:usb0="E00006FF" w:usb1="420024FF" w:usb2="02000000" w:usb3="00000000" w:csb0="0000019F" w:csb1="00000000"/>
    <w:embedRegular r:id="rId4" w:fontKey="{447C0FE2-E2A8-4CBF-ABB1-A73A6F474470}"/>
  </w:font>
  <w:font w:name="Arial">
    <w:panose1 w:val="020B0604020202020204"/>
    <w:charset w:val="00"/>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5" w:fontKey="{BBA5A9F3-0A39-4756-8437-1F83751293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F55FE" w14:textId="77777777" w:rsidR="00FE3651"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722B7EF" w14:textId="77777777" w:rsidR="00FE3651" w:rsidRDefault="00FE3651">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38BA1" w14:textId="77777777" w:rsidR="00FE3651" w:rsidRDefault="00000000">
    <w:pPr>
      <w:pBdr>
        <w:top w:val="nil"/>
        <w:left w:val="nil"/>
        <w:bottom w:val="nil"/>
        <w:right w:val="nil"/>
        <w:between w:val="nil"/>
      </w:pBdr>
      <w:tabs>
        <w:tab w:val="center" w:pos="4536"/>
        <w:tab w:val="right" w:pos="9072"/>
        <w:tab w:val="right" w:pos="9746"/>
      </w:tabs>
      <w:jc w:val="both"/>
      <w:rPr>
        <w:rFonts w:ascii="Calibri" w:eastAsia="Calibri" w:hAnsi="Calibri" w:cs="Calibri"/>
        <w:color w:val="000000"/>
      </w:rPr>
    </w:pP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3</w:t>
    </w:r>
    <w:r>
      <w:rPr>
        <w:rFonts w:ascii="Calibri" w:eastAsia="Calibri" w:hAnsi="Calibri" w:cs="Calibri"/>
        <w:b/>
        <w:bCs/>
        <w:color w:val="000000"/>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146B0" w14:textId="77777777" w:rsidR="00FE3651" w:rsidRDefault="00FE3651">
    <w:pPr>
      <w:pBdr>
        <w:top w:val="nil"/>
        <w:left w:val="nil"/>
        <w:bottom w:val="nil"/>
        <w:right w:val="nil"/>
        <w:between w:val="nil"/>
      </w:pBdr>
      <w:tabs>
        <w:tab w:val="center" w:pos="4536"/>
        <w:tab w:val="right" w:pos="9072"/>
        <w:tab w:val="left" w:pos="1940"/>
        <w:tab w:val="right" w:pos="9746"/>
      </w:tabs>
      <w:jc w:val="both"/>
      <w:rPr>
        <w:rFonts w:ascii="Calibri" w:eastAsia="Calibri" w:hAnsi="Calibri" w:cs="Calibri"/>
        <w:color w:val="000000"/>
        <w:u w:val="single"/>
      </w:rPr>
    </w:pPr>
  </w:p>
  <w:p w14:paraId="50519D36" w14:textId="77777777" w:rsidR="00FE3651" w:rsidRDefault="00000000">
    <w:pPr>
      <w:pBdr>
        <w:top w:val="nil"/>
        <w:left w:val="nil"/>
        <w:bottom w:val="nil"/>
        <w:right w:val="nil"/>
        <w:between w:val="nil"/>
      </w:pBdr>
      <w:tabs>
        <w:tab w:val="center" w:pos="4536"/>
        <w:tab w:val="right" w:pos="9072"/>
        <w:tab w:val="right" w:pos="9746"/>
      </w:tabs>
      <w:jc w:val="center"/>
      <w:rPr>
        <w:rFonts w:ascii="Calibri" w:eastAsia="Calibri" w:hAnsi="Calibri" w:cs="Calibri"/>
        <w:b/>
        <w:bCs/>
        <w:color w:val="000000"/>
        <w:sz w:val="22"/>
        <w:szCs w:val="22"/>
      </w:rPr>
    </w:pPr>
    <w:r>
      <w:rPr>
        <w:rFonts w:ascii="Calibri" w:eastAsia="Calibri" w:hAnsi="Calibri" w:cs="Calibri"/>
        <w:color w:val="000000"/>
        <w:sz w:val="22"/>
        <w:szCs w:val="22"/>
      </w:rPr>
      <w:tab/>
      <w:t>Page</w:t>
    </w:r>
    <w:r>
      <w:rPr>
        <w:rFonts w:ascii="Calibri" w:eastAsia="Calibri" w:hAnsi="Calibri" w:cs="Calibri"/>
        <w:b/>
        <w:bCs/>
        <w:color w:val="000000"/>
        <w:sz w:val="22"/>
        <w:szCs w:val="22"/>
      </w:rPr>
      <w:t xml:space="preserv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p>
  <w:p w14:paraId="66090133" w14:textId="77777777" w:rsidR="00FE3651" w:rsidRDefault="00FE3651">
    <w:pPr>
      <w:pBdr>
        <w:top w:val="nil"/>
        <w:left w:val="nil"/>
        <w:bottom w:val="nil"/>
        <w:right w:val="nil"/>
        <w:between w:val="nil"/>
      </w:pBdr>
      <w:tabs>
        <w:tab w:val="center" w:pos="4536"/>
        <w:tab w:val="right" w:pos="9072"/>
        <w:tab w:val="right" w:pos="974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05B55" w14:textId="77777777" w:rsidR="00C4317C" w:rsidRDefault="00C4317C">
      <w:r>
        <w:separator/>
      </w:r>
    </w:p>
  </w:footnote>
  <w:footnote w:type="continuationSeparator" w:id="0">
    <w:p w14:paraId="5FD57596" w14:textId="77777777" w:rsidR="00C4317C" w:rsidRDefault="00C431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112F2" w14:textId="77777777" w:rsidR="00FE3651" w:rsidRDefault="00000000">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7728" behindDoc="1" locked="0" layoutInCell="1" hidden="0" allowOverlap="1" wp14:anchorId="6B48BA22" wp14:editId="6019A981">
          <wp:simplePos x="0" y="0"/>
          <wp:positionH relativeFrom="margin">
            <wp:align>center</wp:align>
          </wp:positionH>
          <wp:positionV relativeFrom="margin">
            <wp:align>center</wp:align>
          </wp:positionV>
          <wp:extent cx="10706100" cy="10693400"/>
          <wp:effectExtent l="0" t="0" r="0" b="0"/>
          <wp:wrapNone/>
          <wp:docPr id="1" name="image1.png" descr="Fond FEI"/>
          <wp:cNvGraphicFramePr/>
          <a:graphic xmlns:a="http://schemas.openxmlformats.org/drawingml/2006/main">
            <a:graphicData uri="http://schemas.openxmlformats.org/drawingml/2006/picture">
              <pic:pic xmlns:pic="http://schemas.openxmlformats.org/drawingml/2006/picture">
                <pic:nvPicPr>
                  <pic:cNvPr id="0" name="image1.png" descr="Fond FEI"/>
                  <pic:cNvPicPr preferRelativeResize="0"/>
                </pic:nvPicPr>
                <pic:blipFill>
                  <a:blip r:embed="rId1"/>
                  <a:srcRect/>
                  <a:stretch>
                    <a:fillRect/>
                  </a:stretch>
                </pic:blipFill>
                <pic:spPr>
                  <a:xfrm>
                    <a:off x="0" y="0"/>
                    <a:ext cx="10706100" cy="10693400"/>
                  </a:xfrm>
                  <a:prstGeom prst="rect">
                    <a:avLst/>
                  </a:prstGeom>
                  <a:ln/>
                </pic:spPr>
              </pic:pic>
            </a:graphicData>
          </a:graphic>
        </wp:anchor>
      </w:drawing>
    </w:r>
    <w:r>
      <w:rPr>
        <w:color w:val="000000"/>
      </w:rPr>
      <w:pict w14:anchorId="53889D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843pt;height:842pt;z-index:-251657728;mso-position-horizontal:center;mso-position-horizontal-relative:margin;mso-position-vertical:center;mso-position-vertical-relative:margin">
          <v:imagedata r:id="rId2"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82A99" w14:textId="77777777" w:rsidR="00FE3651" w:rsidRDefault="00FE3651">
    <w:pPr>
      <w:pBdr>
        <w:top w:val="nil"/>
        <w:left w:val="nil"/>
        <w:bottom w:val="nil"/>
        <w:right w:val="nil"/>
        <w:between w:val="nil"/>
      </w:pBdr>
      <w:tabs>
        <w:tab w:val="center" w:pos="4536"/>
        <w:tab w:val="right" w:pos="9072"/>
      </w:tabs>
      <w:rPr>
        <w:rFonts w:ascii="Calibri" w:eastAsia="Calibri" w:hAnsi="Calibri" w:cs="Calibri"/>
        <w:color w:val="000000"/>
      </w:rPr>
    </w:pPr>
  </w:p>
  <w:p w14:paraId="2A26F5F1" w14:textId="77777777" w:rsidR="00FE3651" w:rsidRDefault="0000000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b/>
        <w:bCs/>
        <w:smallCaps/>
        <w:color w:val="000000"/>
      </w:rPr>
      <w:t>Terms of reference / specifications</w:t>
    </w:r>
  </w:p>
  <w:p w14:paraId="33B5E788" w14:textId="77777777" w:rsidR="00FE3651" w:rsidRDefault="0000000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D6DE8" w14:textId="77777777" w:rsidR="00FE3651" w:rsidRDefault="00000000">
    <w:pPr>
      <w:pBdr>
        <w:top w:val="nil"/>
        <w:left w:val="nil"/>
        <w:bottom w:val="nil"/>
        <w:right w:val="nil"/>
        <w:between w:val="nil"/>
      </w:pBdr>
      <w:tabs>
        <w:tab w:val="center" w:pos="4536"/>
        <w:tab w:val="right" w:pos="9072"/>
      </w:tabs>
      <w:rPr>
        <w:color w:val="000000"/>
      </w:rPr>
    </w:pPr>
    <w:bookmarkStart w:id="0" w:name="_heading=h.ryw6nteshvj1" w:colFirst="0" w:colLast="0"/>
    <w:bookmarkEnd w:id="0"/>
    <w:r>
      <w:rPr>
        <w:noProof/>
      </w:rPr>
      <w:drawing>
        <wp:anchor distT="0" distB="0" distL="114300" distR="114300" simplePos="0" relativeHeight="251656704" behindDoc="0" locked="0" layoutInCell="1" hidden="0" allowOverlap="1" wp14:anchorId="3B0161C5" wp14:editId="3F10876D">
          <wp:simplePos x="0" y="0"/>
          <wp:positionH relativeFrom="column">
            <wp:posOffset>1</wp:posOffset>
          </wp:positionH>
          <wp:positionV relativeFrom="paragraph">
            <wp:posOffset>-176529</wp:posOffset>
          </wp:positionV>
          <wp:extent cx="1866900" cy="980913"/>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10815" t="17177" r="11040" b="15859"/>
                  <a:stretch>
                    <a:fillRect/>
                  </a:stretch>
                </pic:blipFill>
                <pic:spPr>
                  <a:xfrm>
                    <a:off x="0" y="0"/>
                    <a:ext cx="1866900" cy="9809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F111E"/>
    <w:multiLevelType w:val="multilevel"/>
    <w:tmpl w:val="CCF46030"/>
    <w:lvl w:ilvl="0">
      <w:start w:val="1"/>
      <w:numFmt w:val="bullet"/>
      <w:lvlText w:val="o"/>
      <w:lvlJc w:val="left"/>
      <w:pPr>
        <w:ind w:left="2160" w:hanging="360"/>
      </w:pPr>
      <w:rPr>
        <w:rFonts w:ascii="Courier New" w:eastAsia="Courier New" w:hAnsi="Courier New" w:cs="Courier New"/>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 w15:restartNumberingAfterBreak="0">
    <w:nsid w:val="03283706"/>
    <w:multiLevelType w:val="multilevel"/>
    <w:tmpl w:val="2FFC4228"/>
    <w:lvl w:ilvl="0">
      <w:start w:val="1"/>
      <w:numFmt w:val="decimal"/>
      <w:lvlText w:val="%1."/>
      <w:lvlJc w:val="left"/>
      <w:pPr>
        <w:ind w:left="720" w:hanging="360"/>
      </w:pPr>
      <w:rPr>
        <w:b w:val="0"/>
        <w:bCs w:val="0"/>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BC111E"/>
    <w:multiLevelType w:val="hybridMultilevel"/>
    <w:tmpl w:val="CC72C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01B29"/>
    <w:multiLevelType w:val="multilevel"/>
    <w:tmpl w:val="3BC20A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CAD7749"/>
    <w:multiLevelType w:val="hybridMultilevel"/>
    <w:tmpl w:val="E6ACD6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F53282F"/>
    <w:multiLevelType w:val="multilevel"/>
    <w:tmpl w:val="BF781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F7D606C"/>
    <w:multiLevelType w:val="hybridMultilevel"/>
    <w:tmpl w:val="AE80D9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7B66808"/>
    <w:multiLevelType w:val="hybridMultilevel"/>
    <w:tmpl w:val="A352E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E27766F"/>
    <w:multiLevelType w:val="multilevel"/>
    <w:tmpl w:val="C20856E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208D73EF"/>
    <w:multiLevelType w:val="multilevel"/>
    <w:tmpl w:val="DAF445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0D375C8"/>
    <w:multiLevelType w:val="multilevel"/>
    <w:tmpl w:val="184A49B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15:restartNumberingAfterBreak="0">
    <w:nsid w:val="2F3F4802"/>
    <w:multiLevelType w:val="multilevel"/>
    <w:tmpl w:val="75EEB27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7AB48C8"/>
    <w:multiLevelType w:val="hybridMultilevel"/>
    <w:tmpl w:val="ABAC9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A74CB1"/>
    <w:multiLevelType w:val="hybridMultilevel"/>
    <w:tmpl w:val="CAB292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C867E6E"/>
    <w:multiLevelType w:val="hybridMultilevel"/>
    <w:tmpl w:val="5142D5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FEE2631"/>
    <w:multiLevelType w:val="multilevel"/>
    <w:tmpl w:val="DB8650E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15:restartNumberingAfterBreak="0">
    <w:nsid w:val="582248DE"/>
    <w:multiLevelType w:val="hybridMultilevel"/>
    <w:tmpl w:val="7576C6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E356578"/>
    <w:multiLevelType w:val="hybridMultilevel"/>
    <w:tmpl w:val="8C1E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830C6"/>
    <w:multiLevelType w:val="multilevel"/>
    <w:tmpl w:val="7B7237F0"/>
    <w:lvl w:ilvl="0">
      <w:start w:val="1"/>
      <w:numFmt w:val="upperRoman"/>
      <w:lvlText w:val="%1."/>
      <w:lvlJc w:val="right"/>
      <w:pPr>
        <w:ind w:left="720" w:hanging="180"/>
      </w:pPr>
      <w:rPr>
        <w:rFonts w:ascii="Calibri" w:eastAsia="Calibri" w:hAnsi="Calibri" w:cs="Calibri"/>
        <w:b/>
        <w:bCs/>
        <w:i w:val="0"/>
        <w:iCs w:val="0"/>
        <w:sz w:val="24"/>
        <w:szCs w:val="24"/>
      </w:rPr>
    </w:lvl>
    <w:lvl w:ilvl="1">
      <w:start w:val="1"/>
      <w:numFmt w:val="decimal"/>
      <w:lvlText w:val="%2)"/>
      <w:lvlJc w:val="left"/>
      <w:pPr>
        <w:ind w:left="1440" w:hanging="360"/>
      </w:pPr>
      <w:rPr>
        <w:rFonts w:ascii="Calibri" w:eastAsia="Calibri" w:hAnsi="Calibri" w:cs="Calibri"/>
        <w:b/>
        <w:bCs/>
        <w:i w:val="0"/>
        <w:iCs w:val="0"/>
        <w:sz w:val="22"/>
        <w:szCs w:val="22"/>
      </w:rPr>
    </w:lvl>
    <w:lvl w:ilvl="2">
      <w:start w:val="1"/>
      <w:numFmt w:val="decimal"/>
      <w:lvlText w:val="%3."/>
      <w:lvlJc w:val="left"/>
      <w:pPr>
        <w:ind w:left="2340" w:hanging="360"/>
      </w:pPr>
      <w:rPr>
        <w:rFonts w:ascii="Calibri" w:eastAsia="Calibri" w:hAnsi="Calibri" w:cs="Calibri"/>
        <w:b w:val="0"/>
        <w:bCs w:val="0"/>
        <w:i w:val="0"/>
        <w:iCs w:val="0"/>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6906C8E"/>
    <w:multiLevelType w:val="hybridMultilevel"/>
    <w:tmpl w:val="C12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935852"/>
    <w:multiLevelType w:val="multilevel"/>
    <w:tmpl w:val="19703F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CE4309A"/>
    <w:multiLevelType w:val="multilevel"/>
    <w:tmpl w:val="5CBAC8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3973BD1"/>
    <w:multiLevelType w:val="hybridMultilevel"/>
    <w:tmpl w:val="1F7A0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3FF4BB8"/>
    <w:multiLevelType w:val="hybridMultilevel"/>
    <w:tmpl w:val="1F5437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744555ED"/>
    <w:multiLevelType w:val="multilevel"/>
    <w:tmpl w:val="651AF98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5" w15:restartNumberingAfterBreak="0">
    <w:nsid w:val="74570708"/>
    <w:multiLevelType w:val="hybridMultilevel"/>
    <w:tmpl w:val="CC3C8F6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8525245">
    <w:abstractNumId w:val="18"/>
  </w:num>
  <w:num w:numId="2" w16cid:durableId="635914163">
    <w:abstractNumId w:val="1"/>
  </w:num>
  <w:num w:numId="3" w16cid:durableId="1223835542">
    <w:abstractNumId w:val="24"/>
  </w:num>
  <w:num w:numId="4" w16cid:durableId="1928728412">
    <w:abstractNumId w:val="11"/>
  </w:num>
  <w:num w:numId="5" w16cid:durableId="514001982">
    <w:abstractNumId w:val="15"/>
  </w:num>
  <w:num w:numId="6" w16cid:durableId="15547339">
    <w:abstractNumId w:val="9"/>
  </w:num>
  <w:num w:numId="7" w16cid:durableId="1994798925">
    <w:abstractNumId w:val="20"/>
  </w:num>
  <w:num w:numId="8" w16cid:durableId="1454590505">
    <w:abstractNumId w:val="10"/>
  </w:num>
  <w:num w:numId="9" w16cid:durableId="1564759161">
    <w:abstractNumId w:val="21"/>
  </w:num>
  <w:num w:numId="10" w16cid:durableId="1663046788">
    <w:abstractNumId w:val="5"/>
  </w:num>
  <w:num w:numId="11" w16cid:durableId="552423290">
    <w:abstractNumId w:val="0"/>
  </w:num>
  <w:num w:numId="12" w16cid:durableId="1350986887">
    <w:abstractNumId w:val="3"/>
  </w:num>
  <w:num w:numId="13" w16cid:durableId="1428427596">
    <w:abstractNumId w:val="8"/>
  </w:num>
  <w:num w:numId="14" w16cid:durableId="370690395">
    <w:abstractNumId w:val="17"/>
  </w:num>
  <w:num w:numId="15" w16cid:durableId="1180507246">
    <w:abstractNumId w:val="16"/>
  </w:num>
  <w:num w:numId="16" w16cid:durableId="192882777">
    <w:abstractNumId w:val="6"/>
  </w:num>
  <w:num w:numId="17" w16cid:durableId="400980092">
    <w:abstractNumId w:val="4"/>
  </w:num>
  <w:num w:numId="18" w16cid:durableId="406850310">
    <w:abstractNumId w:val="7"/>
  </w:num>
  <w:num w:numId="19" w16cid:durableId="197548853">
    <w:abstractNumId w:val="13"/>
  </w:num>
  <w:num w:numId="20" w16cid:durableId="168522779">
    <w:abstractNumId w:val="22"/>
  </w:num>
  <w:num w:numId="21" w16cid:durableId="510531404">
    <w:abstractNumId w:val="23"/>
  </w:num>
  <w:num w:numId="22" w16cid:durableId="978875024">
    <w:abstractNumId w:val="14"/>
  </w:num>
  <w:num w:numId="23" w16cid:durableId="1094014150">
    <w:abstractNumId w:val="25"/>
  </w:num>
  <w:num w:numId="24" w16cid:durableId="711542844">
    <w:abstractNumId w:val="19"/>
  </w:num>
  <w:num w:numId="25" w16cid:durableId="1308125055">
    <w:abstractNumId w:val="12"/>
  </w:num>
  <w:num w:numId="26" w16cid:durableId="4359023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651"/>
    <w:rsid w:val="00046E5F"/>
    <w:rsid w:val="00091F87"/>
    <w:rsid w:val="00152C6A"/>
    <w:rsid w:val="00246550"/>
    <w:rsid w:val="002A1FAB"/>
    <w:rsid w:val="00486B81"/>
    <w:rsid w:val="004D5090"/>
    <w:rsid w:val="00501252"/>
    <w:rsid w:val="00546544"/>
    <w:rsid w:val="005B4343"/>
    <w:rsid w:val="006222B7"/>
    <w:rsid w:val="007011C1"/>
    <w:rsid w:val="00745A3A"/>
    <w:rsid w:val="007E0790"/>
    <w:rsid w:val="007E77B7"/>
    <w:rsid w:val="008132D6"/>
    <w:rsid w:val="00901F25"/>
    <w:rsid w:val="00925F91"/>
    <w:rsid w:val="00944814"/>
    <w:rsid w:val="00961AC6"/>
    <w:rsid w:val="00B27CF6"/>
    <w:rsid w:val="00BD68BC"/>
    <w:rsid w:val="00C4317C"/>
    <w:rsid w:val="00CE674B"/>
    <w:rsid w:val="00E32C7A"/>
    <w:rsid w:val="00EC52E5"/>
    <w:rsid w:val="00F56B1D"/>
    <w:rsid w:val="00FB1CDB"/>
    <w:rsid w:val="00FE36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EC5125"/>
  <w15:docId w15:val="{34F42A2A-7231-4B36-A46A-F6D0D7212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keepNext/>
      <w:keepLines/>
      <w:spacing w:before="40"/>
      <w:outlineLvl w:val="1"/>
    </w:pPr>
    <w:rPr>
      <w:rFonts w:ascii="Cambria" w:eastAsia="Cambria" w:hAnsi="Cambria" w:cs="Cambria"/>
      <w:color w:val="366091"/>
      <w:sz w:val="26"/>
      <w:szCs w:val="26"/>
    </w:rPr>
  </w:style>
  <w:style w:type="paragraph" w:styleId="Heading3">
    <w:name w:val="heading 3"/>
    <w:basedOn w:val="Normal"/>
    <w:next w:val="Normal"/>
    <w:uiPriority w:val="9"/>
    <w:semiHidden/>
    <w:unhideWhenUsed/>
    <w:qFormat/>
    <w:pPr>
      <w:keepNext/>
      <w:keepLines/>
      <w:spacing w:before="40"/>
      <w:outlineLvl w:val="2"/>
    </w:pPr>
    <w:rPr>
      <w:rFonts w:ascii="Cambria" w:eastAsia="Cambria" w:hAnsi="Cambria" w:cs="Cambria"/>
      <w:color w:val="243F61"/>
    </w:rPr>
  </w:style>
  <w:style w:type="paragraph" w:styleId="Heading4">
    <w:name w:val="heading 4"/>
    <w:basedOn w:val="Normal"/>
    <w:next w:val="Normal"/>
    <w:uiPriority w:val="9"/>
    <w:semiHidden/>
    <w:unhideWhenUsed/>
    <w:qFormat/>
    <w:pPr>
      <w:keepNext/>
      <w:outlineLvl w:val="3"/>
    </w:pPr>
    <w:rPr>
      <w:rFonts w:ascii="Arial" w:eastAsia="Arial" w:hAnsi="Arial" w:cs="Arial"/>
      <w:b/>
      <w:bCs/>
      <w:i/>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70" w:type="dxa"/>
        <w:bottom w:w="0" w:type="dxa"/>
        <w:right w:w="70" w:type="dxa"/>
      </w:tblCellMar>
    </w:tblPr>
  </w:style>
  <w:style w:type="character" w:styleId="CommentReference">
    <w:name w:val="annotation reference"/>
    <w:basedOn w:val="DefaultParagraphFont"/>
    <w:uiPriority w:val="99"/>
    <w:semiHidden/>
    <w:unhideWhenUsed/>
    <w:rsid w:val="00091F87"/>
    <w:rPr>
      <w:sz w:val="16"/>
      <w:szCs w:val="16"/>
    </w:rPr>
  </w:style>
  <w:style w:type="paragraph" w:styleId="CommentText">
    <w:name w:val="annotation text"/>
    <w:basedOn w:val="Normal"/>
    <w:link w:val="CommentTextChar"/>
    <w:uiPriority w:val="99"/>
    <w:unhideWhenUsed/>
    <w:rsid w:val="00091F87"/>
    <w:rPr>
      <w:sz w:val="20"/>
      <w:szCs w:val="20"/>
    </w:rPr>
  </w:style>
  <w:style w:type="character" w:customStyle="1" w:styleId="CommentTextChar">
    <w:name w:val="Comment Text Char"/>
    <w:basedOn w:val="DefaultParagraphFont"/>
    <w:link w:val="CommentText"/>
    <w:uiPriority w:val="99"/>
    <w:rsid w:val="00091F87"/>
    <w:rPr>
      <w:sz w:val="20"/>
      <w:szCs w:val="20"/>
    </w:rPr>
  </w:style>
  <w:style w:type="paragraph" w:styleId="CommentSubject">
    <w:name w:val="annotation subject"/>
    <w:basedOn w:val="CommentText"/>
    <w:next w:val="CommentText"/>
    <w:link w:val="CommentSubjectChar"/>
    <w:uiPriority w:val="99"/>
    <w:semiHidden/>
    <w:unhideWhenUsed/>
    <w:rsid w:val="00091F87"/>
    <w:rPr>
      <w:b/>
      <w:bCs/>
    </w:rPr>
  </w:style>
  <w:style w:type="character" w:customStyle="1" w:styleId="CommentSubjectChar">
    <w:name w:val="Comment Subject Char"/>
    <w:basedOn w:val="CommentTextChar"/>
    <w:link w:val="CommentSubject"/>
    <w:uiPriority w:val="99"/>
    <w:semiHidden/>
    <w:rsid w:val="00091F87"/>
    <w:rPr>
      <w:b/>
      <w:bCs/>
      <w:sz w:val="20"/>
      <w:szCs w:val="20"/>
    </w:rPr>
  </w:style>
  <w:style w:type="paragraph" w:styleId="ListParagraph">
    <w:name w:val="List Paragraph"/>
    <w:aliases w:val="References,sous titre 2,List Paragraph1,- List tir,texte,figure,Glossaire,liste de tableaux,Titre1,Paragraphe  revu,Bullets,Numbered Paragraph,Main numbered paragraph,Numbered List Paragraph,123 List Paragraph,bl,bl1,RM1,lp1,Liste 1"/>
    <w:basedOn w:val="Normal"/>
    <w:link w:val="ListParagraphChar"/>
    <w:uiPriority w:val="34"/>
    <w:qFormat/>
    <w:rsid w:val="00091F87"/>
    <w:pPr>
      <w:ind w:left="720"/>
      <w:contextualSpacing/>
    </w:pPr>
  </w:style>
  <w:style w:type="paragraph" w:styleId="Revision">
    <w:name w:val="Revision"/>
    <w:hidden/>
    <w:uiPriority w:val="99"/>
    <w:semiHidden/>
    <w:rsid w:val="00CE674B"/>
  </w:style>
  <w:style w:type="character" w:styleId="Hyperlink">
    <w:name w:val="Hyperlink"/>
    <w:basedOn w:val="DefaultParagraphFont"/>
    <w:uiPriority w:val="99"/>
    <w:unhideWhenUsed/>
    <w:rsid w:val="00CE674B"/>
    <w:rPr>
      <w:color w:val="0000FF" w:themeColor="hyperlink"/>
      <w:u w:val="single"/>
    </w:rPr>
  </w:style>
  <w:style w:type="character" w:styleId="UnresolvedMention">
    <w:name w:val="Unresolved Mention"/>
    <w:basedOn w:val="DefaultParagraphFont"/>
    <w:uiPriority w:val="99"/>
    <w:semiHidden/>
    <w:unhideWhenUsed/>
    <w:rsid w:val="00CE674B"/>
    <w:rPr>
      <w:color w:val="605E5C"/>
      <w:shd w:val="clear" w:color="auto" w:fill="E1DFDD"/>
    </w:rPr>
  </w:style>
  <w:style w:type="character" w:customStyle="1" w:styleId="ListParagraphChar">
    <w:name w:val="List Paragraph Char"/>
    <w:aliases w:val="References Char,sous titre 2 Char,List Paragraph1 Char,- List tir Char,texte Char,figure Char,Glossaire Char,liste de tableaux Char,Titre1 Char,Paragraphe  revu Char,Bullets Char,Numbered Paragraph Char,Main numbered paragraph Char"/>
    <w:link w:val="ListParagraph"/>
    <w:uiPriority w:val="34"/>
    <w:qFormat/>
    <w:locked/>
    <w:rsid w:val="00CE67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ryna.vyshnevska@expertisefrance.f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wOLxLyCCk5WCLR4Rp6gJbwoLiA==">CgMxLjAyDmgucnl3Nm50ZXNodmoxOAByITFzdFNCdVUybXV4SXZWdHE4UC00WWtmM1dKcGduaUhPcA==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2320</Words>
  <Characters>14199</Characters>
  <Application>Microsoft Office Word</Application>
  <DocSecurity>0</DocSecurity>
  <Lines>249</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EF_30</dc:creator>
  <cp:lastModifiedBy>Yurii Koval</cp:lastModifiedBy>
  <cp:revision>6</cp:revision>
  <dcterms:created xsi:type="dcterms:W3CDTF">2026-07-28T10:10:00Z</dcterms:created>
  <dcterms:modified xsi:type="dcterms:W3CDTF">2026-07-30T08:59:00Z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f3d20412-c6b6-48e9-958e-a0e228fef87d</vt:lpwstr>
  </property>
</Properties>
</file>